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839u07f5r3v" w:id="0"/>
      <w:bookmarkEnd w:id="0"/>
      <w:r w:rsidDel="00000000" w:rsidR="00000000" w:rsidRPr="00000000">
        <w:rPr>
          <w:rtl w:val="0"/>
        </w:rPr>
        <w:t xml:space="preserve">InsightOut Coach Portal — Design Spec Addendum: §7.1 Dashboard</w:t>
      </w:r>
    </w:p>
    <w:p w:rsidR="00000000" w:rsidDel="00000000" w:rsidP="00000000" w:rsidRDefault="00000000" w:rsidRPr="00000000" w14:paraId="00000002">
      <w:pPr>
        <w:rPr/>
      </w:pPr>
      <w:r w:rsidDel="00000000" w:rsidR="00000000" w:rsidRPr="00000000">
        <w:rPr>
          <w:b w:val="1"/>
          <w:bCs w:val="1"/>
          <w:rtl w:val="0"/>
        </w:rPr>
        <w:t xml:space="preserve">Version 1.0 · Confidential · Hive, Inc.</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Locked. Resolves a gap in Design Spec v2.2, which referenced §7.1 as "unchanged from v1.4" without the v1.4 text existing anywhere in the repo or elsewhere. Transcribed from the Claude Design mockup session (desktop, tablet, mobile, mobile-menu-open) and ratified by Cai. Authoritative for §7.1 as of this version — fold into the master Design Spec as §7.1 whenever that document is next revised.</w:t>
      </w:r>
    </w:p>
    <w:p w:rsidR="00000000" w:rsidDel="00000000" w:rsidP="00000000" w:rsidRDefault="00000000" w:rsidRPr="00000000" w14:paraId="00000004">
      <w:pPr>
        <w:rPr/>
      </w:pPr>
      <w:r w:rsidDel="00000000" w:rsidR="00000000" w:rsidRPr="00000000">
        <w:rPr>
          <w:b w:val="1"/>
          <w:bCs w:val="1"/>
          <w:rtl w:val="0"/>
        </w:rPr>
        <w:t xml:space="preserve">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/coach</w:t>
      </w:r>
      <w:r w:rsidDel="00000000" w:rsidR="00000000" w:rsidRPr="00000000">
        <w:rPr>
          <w:rtl w:val="0"/>
        </w:rPr>
        <w:t xml:space="preserve"> (default landing).</w:t>
      </w:r>
    </w:p>
    <w:p w:rsidR="00000000" w:rsidDel="00000000" w:rsidP="00000000" w:rsidRDefault="00000000" w:rsidRPr="00000000" w14:paraId="00000005">
      <w:pPr>
        <w:rPr/>
      </w:pPr>
      <w:r w:rsidDel="00000000" w:rsidR="00000000" w:rsidRPr="00000000">
        <w:rPr>
          <w:b w:val="1"/>
          <w:bCs w:val="1"/>
          <w:rtl w:val="0"/>
        </w:rPr>
        <w:t xml:space="preserve">Job mapping:</w:t>
      </w:r>
      <w:r w:rsidDel="00000000" w:rsidR="00000000" w:rsidRPr="00000000">
        <w:rPr>
          <w:rtl w:val="0"/>
        </w:rPr>
        <w:t xml:space="preserve"> J1 — "Know where I stand." Design principle in effect: "Status-driven dashboard — organize by what needs attention."</w:t>
      </w:r>
    </w:p>
    <w:p w:rsidR="00000000" w:rsidDel="00000000" w:rsidP="00000000" w:rsidRDefault="00000000" w:rsidRPr="00000000" w14:paraId="00000006">
      <w:pPr>
        <w:rPr/>
      </w:pPr>
      <w:r w:rsidDel="00000000" w:rsidR="00000000" w:rsidRPr="00000000">
        <w:rPr>
          <w:b w:val="1"/>
          <w:bCs w:val="1"/>
          <w:rtl w:val="0"/>
        </w:rPr>
        <w:t xml:space="preserve">Nav note:</w:t>
      </w:r>
      <w:r w:rsidDel="00000000" w:rsidR="00000000" w:rsidRPr="00000000">
        <w:rPr>
          <w:rtl w:val="0"/>
        </w:rPr>
        <w:t xml:space="preserve"> The mockup's left nav predates the v2.2 nav (it's missing My Profile and My InsightOut Advisor, both added later and already shipped in PR1). The Dashboard content below assumes the current, already-built nav — do not roll the nav back to match the mockup.</w:t>
      </w:r>
    </w:p>
    <w:p w:rsidR="00000000" w:rsidDel="00000000" w:rsidP="00000000" w:rsidRDefault="00000000" w:rsidRPr="00000000" w14:paraId="00000007">
      <w:pPr>
        <w:pStyle w:val="Heading2"/>
        <w:rPr/>
      </w:pPr>
      <w:bookmarkStart w:colFirst="0" w:colLast="0" w:name="_9nrqz3i9y6w8" w:id="1"/>
      <w:bookmarkEnd w:id="1"/>
      <w:r w:rsidDel="00000000" w:rsidR="00000000" w:rsidRPr="00000000">
        <w:rPr>
          <w:rtl w:val="0"/>
        </w:rPr>
        <w:t xml:space="preserve">Header (all breakpoints)</w:t>
      </w:r>
    </w:p>
    <w:p w:rsidR="00000000" w:rsidDel="00000000" w:rsidP="00000000" w:rsidRDefault="00000000" w:rsidRPr="00000000" w14:paraId="00000008">
      <w:pPr>
        <w:rPr/>
      </w:pPr>
      <w:r w:rsidDel="00000000" w:rsidR="00000000" w:rsidRPr="00000000">
        <w:rPr>
          <w:rtl w:val="0"/>
        </w:rPr>
        <w:t xml:space="preserve">"InsightOut" wordmark + "by Hive, Inc." subtitle, left. Right: "Credits: N" pill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text/border), circular avatar with coach initials, dropdown chevron.</w:t>
      </w:r>
    </w:p>
    <w:p w:rsidR="00000000" w:rsidDel="00000000" w:rsidP="00000000" w:rsidRDefault="00000000" w:rsidRPr="00000000" w14:paraId="00000009">
      <w:pPr>
        <w:pStyle w:val="Heading2"/>
        <w:rPr/>
      </w:pPr>
      <w:bookmarkStart w:colFirst="0" w:colLast="0" w:name="_6mm30qoks92t" w:id="2"/>
      <w:bookmarkEnd w:id="2"/>
      <w:r w:rsidDel="00000000" w:rsidR="00000000" w:rsidRPr="00000000">
        <w:rPr>
          <w:rtl w:val="0"/>
        </w:rPr>
        <w:t xml:space="preserve">Greeting block</w:t>
      </w:r>
    </w:p>
    <w:p w:rsidR="00000000" w:rsidDel="00000000" w:rsidP="00000000" w:rsidRDefault="00000000" w:rsidRPr="00000000" w14:paraId="0000000A">
      <w:pPr>
        <w:rPr/>
      </w:pPr>
      <w:r w:rsidDel="00000000" w:rsidR="00000000" w:rsidRPr="00000000">
        <w:rPr>
          <w:rtl w:val="0"/>
        </w:rPr>
        <w:t xml:space="preserve">"Good morning, [First Name]." — Georgia, bold, </w:t>
      </w:r>
      <w:r w:rsidDel="00000000" w:rsidR="00000000" w:rsidRPr="00000000">
        <w:rPr>
          <w:rFonts w:ascii="Roboto Mono" w:cs="Roboto Mono" w:eastAsia="Roboto Mono" w:hAnsi="Roboto Mono"/>
          <w:color w:val="188038"/>
          <w:rtl w:val="0"/>
        </w:rPr>
        <w:t xml:space="preserve">#1E2A35</w:t>
      </w:r>
      <w:r w:rsidDel="00000000" w:rsidR="00000000" w:rsidRPr="00000000">
        <w:rPr>
          <w:rtl w:val="0"/>
        </w:rPr>
        <w:t xml:space="preserve">, time-of-day aware (morning/afternoon/evening by server time). Subtitle: "You have N active clients and N credits available." — Arial, </w:t>
      </w:r>
      <w:r w:rsidDel="00000000" w:rsidR="00000000" w:rsidRPr="00000000">
        <w:rPr>
          <w:rFonts w:ascii="Roboto Mono" w:cs="Roboto Mono" w:eastAsia="Roboto Mono" w:hAnsi="Roboto Mono"/>
          <w:color w:val="188038"/>
          <w:rtl w:val="0"/>
        </w:rPr>
        <w:t xml:space="preserve">#8A96A3</w:t>
      </w:r>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g0worm9j1wv0" w:id="3"/>
      <w:bookmarkEnd w:id="3"/>
      <w:r w:rsidDel="00000000" w:rsidR="00000000" w:rsidRPr="00000000">
        <w:rPr>
          <w:rtl w:val="0"/>
        </w:rPr>
        <w:t xml:space="preserve">Action cards</w:t>
      </w:r>
    </w:p>
    <w:p w:rsidR="00000000" w:rsidDel="00000000" w:rsidP="00000000" w:rsidRDefault="00000000" w:rsidRPr="00000000" w14:paraId="0000000C">
      <w:pPr>
        <w:rPr/>
      </w:pPr>
      <w:r w:rsidDel="00000000" w:rsidR="00000000" w:rsidRPr="00000000">
        <w:rPr>
          <w:rtl w:val="0"/>
        </w:rPr>
        <w:t xml:space="preserve">Three cards: </w:t>
      </w:r>
      <w:r w:rsidDel="00000000" w:rsidR="00000000" w:rsidRPr="00000000">
        <w:rPr>
          <w:b w:val="1"/>
          <w:bCs w:val="1"/>
          <w:rtl w:val="0"/>
        </w:rPr>
        <w:t xml:space="preserve">Onboard a New Client</w:t>
      </w:r>
      <w:r w:rsidDel="00000000" w:rsidR="00000000" w:rsidRPr="00000000">
        <w:rPr>
          <w:rtl w:val="0"/>
        </w:rPr>
        <w:t xml:space="preserve"> (person-plus icon), </w:t>
      </w:r>
      <w:r w:rsidDel="00000000" w:rsidR="00000000" w:rsidRPr="00000000">
        <w:rPr>
          <w:b w:val="1"/>
          <w:bCs w:val="1"/>
          <w:rtl w:val="0"/>
        </w:rPr>
        <w:t xml:space="preserve">Purchase Credits</w:t>
      </w:r>
      <w:r w:rsidDel="00000000" w:rsidR="00000000" w:rsidRPr="00000000">
        <w:rPr>
          <w:rtl w:val="0"/>
        </w:rPr>
        <w:t xml:space="preserve"> (card icon), </w:t>
      </w:r>
      <w:r w:rsidDel="00000000" w:rsidR="00000000" w:rsidRPr="00000000">
        <w:rPr>
          <w:b w:val="1"/>
          <w:bCs w:val="1"/>
          <w:rtl w:val="0"/>
        </w:rPr>
        <w:t xml:space="preserve">Register for a Class</w:t>
      </w:r>
      <w:r w:rsidDel="00000000" w:rsidR="00000000" w:rsidRPr="00000000">
        <w:rPr>
          <w:rtl w:val="0"/>
        </w:rPr>
        <w:t xml:space="preserve"> (graduation-cap icon). Each: icon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title (Georgia semibold, </w:t>
      </w:r>
      <w:r w:rsidDel="00000000" w:rsidR="00000000" w:rsidRPr="00000000">
        <w:rPr>
          <w:rFonts w:ascii="Roboto Mono" w:cs="Roboto Mono" w:eastAsia="Roboto Mono" w:hAnsi="Roboto Mono"/>
          <w:color w:val="188038"/>
          <w:rtl w:val="0"/>
        </w:rPr>
        <w:t xml:space="preserve">#1E2A35</w:t>
      </w:r>
      <w:r w:rsidDel="00000000" w:rsidR="00000000" w:rsidRPr="00000000">
        <w:rPr>
          <w:rtl w:val="0"/>
        </w:rPr>
        <w:t xml:space="preserve">), one-line description (Arial, </w:t>
      </w:r>
      <w:r w:rsidDel="00000000" w:rsidR="00000000" w:rsidRPr="00000000">
        <w:rPr>
          <w:rFonts w:ascii="Roboto Mono" w:cs="Roboto Mono" w:eastAsia="Roboto Mono" w:hAnsi="Roboto Mono"/>
          <w:color w:val="188038"/>
          <w:rtl w:val="0"/>
        </w:rPr>
        <w:t xml:space="preserve">#8A96A3</w:t>
      </w:r>
      <w:r w:rsidDel="00000000" w:rsidR="00000000" w:rsidRPr="00000000">
        <w:rPr>
          <w:rtl w:val="0"/>
        </w:rPr>
        <w:t xml:space="preserve">), white bg, thin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left-border accent, matching the existing inline-notice-block idiom (§4.8).</w:t>
      </w:r>
    </w:p>
    <w:p w:rsidR="00000000" w:rsidDel="00000000" w:rsidP="00000000" w:rsidRDefault="00000000" w:rsidRPr="00000000" w14:paraId="0000000D">
      <w:pPr>
        <w:numPr>
          <w:ilvl w:val="0"/>
          <w:numId w:val="1"/>
        </w:numPr>
        <w:spacing w:after="0" w:afterAutospacing="0"/>
        <w:ind w:left="720" w:hanging="360"/>
      </w:pPr>
      <w:r w:rsidDel="00000000" w:rsidR="00000000" w:rsidRPr="00000000">
        <w:rPr>
          <w:rtl w:val="0"/>
        </w:rPr>
        <w:t xml:space="preserve">Desktop/tablet: 3-column row.</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Mobile: horizontal-scroll carousel with dot indicators, same card anatomy — reuse the existing Horizontal Scroll Rows pattern from Resources (§7.6), ~75% viewport width per card so the next one peeks.</w:t>
      </w:r>
    </w:p>
    <w:p w:rsidR="00000000" w:rsidDel="00000000" w:rsidP="00000000" w:rsidRDefault="00000000" w:rsidRPr="00000000" w14:paraId="0000000F">
      <w:pPr>
        <w:pStyle w:val="Heading2"/>
        <w:rPr/>
      </w:pPr>
      <w:bookmarkStart w:colFirst="0" w:colLast="0" w:name="_4ivuj1b7t9zv" w:id="4"/>
      <w:bookmarkEnd w:id="4"/>
      <w:r w:rsidDel="00000000" w:rsidR="00000000" w:rsidRPr="00000000">
        <w:rPr>
          <w:rtl w:val="0"/>
        </w:rPr>
        <w:t xml:space="preserve">"Your Activity" card</w:t>
      </w:r>
    </w:p>
    <w:p w:rsidR="00000000" w:rsidDel="00000000" w:rsidP="00000000" w:rsidRDefault="00000000" w:rsidRPr="00000000" w14:paraId="00000010">
      <w:pPr>
        <w:rPr/>
      </w:pPr>
      <w:r w:rsidDel="00000000" w:rsidR="00000000" w:rsidRPr="00000000">
        <w:rPr>
          <w:rtl w:val="0"/>
        </w:rPr>
        <w:t xml:space="preserve">Header row: "Your Activity" title (Georgia) + Week / Month / Year toggle, top right (Month default-active,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active state matching the Resources filter-tab convention).</w:t>
      </w:r>
    </w:p>
    <w:p w:rsidR="00000000" w:rsidDel="00000000" w:rsidP="00000000" w:rsidRDefault="00000000" w:rsidRPr="00000000" w14:paraId="00000011">
      <w:pPr>
        <w:rPr/>
      </w:pPr>
      <w:r w:rsidDel="00000000" w:rsidR="00000000" w:rsidRPr="00000000">
        <w:rPr>
          <w:rtl w:val="0"/>
        </w:rPr>
        <w:t xml:space="preserve">Three metrics, left to right: Assessments Completed, Active Clients, Credits Available. Large Georgia number over a small muted Arial label, matching the metric-tile idiom used in My Reports' at-a-glance table.</w:t>
      </w:r>
    </w:p>
    <w:p w:rsidR="00000000" w:rsidDel="00000000" w:rsidP="00000000" w:rsidRDefault="00000000" w:rsidRPr="00000000" w14:paraId="00000012">
      <w:pPr>
        <w:rPr/>
      </w:pPr>
      <w:r w:rsidDel="00000000" w:rsidR="00000000" w:rsidRPr="00000000">
        <w:rPr>
          <w:rtl w:val="0"/>
        </w:rPr>
        <w:t xml:space="preserve">Below the metrics: a two-line chart plotting Assessments Completed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against Clients Onboarded (</w:t>
      </w:r>
      <w:r w:rsidDel="00000000" w:rsidR="00000000" w:rsidRPr="00000000">
        <w:rPr>
          <w:rFonts w:ascii="Roboto Mono" w:cs="Roboto Mono" w:eastAsia="Roboto Mono" w:hAnsi="Roboto Mono"/>
          <w:color w:val="188038"/>
          <w:rtl w:val="0"/>
        </w:rPr>
        <w:t xml:space="preserve">#F68625</w:t>
      </w:r>
      <w:r w:rsidDel="00000000" w:rsidR="00000000" w:rsidRPr="00000000">
        <w:rPr>
          <w:rtl w:val="0"/>
        </w:rPr>
        <w:t xml:space="preserve">) over the selected period, with a small color-coded legend beneath. </w:t>
      </w:r>
      <w:r w:rsidDel="00000000" w:rsidR="00000000" w:rsidRPr="00000000">
        <w:rPr>
          <w:b w:val="1"/>
          <w:bCs w:val="1"/>
          <w:rtl w:val="0"/>
        </w:rPr>
        <w:t xml:space="preserve">Desktop/tablet only</w:t>
      </w:r>
      <w:r w:rsidDel="00000000" w:rsidR="00000000" w:rsidRPr="00000000">
        <w:rPr>
          <w:rtl w:val="0"/>
        </w:rPr>
        <w:t xml:space="preserve"> — the mobile layout drops the chart and keeps just the metrics + journey tracker below (confirmed intentional simplification, not a gap).</w:t>
      </w:r>
    </w:p>
    <w:p w:rsidR="00000000" w:rsidDel="00000000" w:rsidP="00000000" w:rsidRDefault="00000000" w:rsidRPr="00000000" w14:paraId="00000013">
      <w:pPr>
        <w:rPr/>
      </w:pPr>
      <w:r w:rsidDel="00000000" w:rsidR="00000000" w:rsidRPr="00000000">
        <w:rPr>
          <w:rtl w:val="0"/>
        </w:rPr>
        <w:t xml:space="preserve">Implementation note (flagging for CC, not prescribing): given the server-rendered architecture, the period toggle can be a simple query-string reload (</w:t>
      </w:r>
      <w:r w:rsidDel="00000000" w:rsidR="00000000" w:rsidRPr="00000000">
        <w:rPr>
          <w:rFonts w:ascii="Roboto Mono" w:cs="Roboto Mono" w:eastAsia="Roboto Mono" w:hAnsi="Roboto Mono"/>
          <w:color w:val="188038"/>
          <w:rtl w:val="0"/>
        </w:rPr>
        <w:t xml:space="preserve">/coach?period=week</w:t>
      </w:r>
      <w:r w:rsidDel="00000000" w:rsidR="00000000" w:rsidRPr="00000000">
        <w:rPr>
          <w:rtl w:val="0"/>
        </w:rPr>
        <w:t xml:space="preserve">) consistent with the rest of the portal, or a small vanilla-JS fetch-based swap if that's genuinely low-risk — CC's call, flag which approach is used and why.</w:t>
      </w:r>
    </w:p>
    <w:p w:rsidR="00000000" w:rsidDel="00000000" w:rsidP="00000000" w:rsidRDefault="00000000" w:rsidRPr="00000000" w14:paraId="00000014">
      <w:pPr>
        <w:pStyle w:val="Heading3"/>
        <w:rPr/>
      </w:pPr>
      <w:bookmarkStart w:colFirst="0" w:colLast="0" w:name="_ur368z78pcyl" w:id="5"/>
      <w:bookmarkEnd w:id="5"/>
      <w:r w:rsidDel="00000000" w:rsidR="00000000" w:rsidRPr="00000000">
        <w:rPr>
          <w:rtl w:val="0"/>
        </w:rPr>
        <w:t xml:space="preserve">"Your Journey" milestone tracker</w:t>
      </w:r>
    </w:p>
    <w:p w:rsidR="00000000" w:rsidDel="00000000" w:rsidP="00000000" w:rsidRDefault="00000000" w:rsidRPr="00000000" w14:paraId="00000015">
      <w:pPr>
        <w:rPr/>
      </w:pPr>
      <w:r w:rsidDel="00000000" w:rsidR="00000000" w:rsidRPr="00000000">
        <w:rPr>
          <w:rtl w:val="0"/>
        </w:rPr>
        <w:t xml:space="preserve">Eyebrow label "YOUR JOURNEY" + a horizontal progress bar with four markers and a current-position indicator: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25 assessments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Badge: Practitioner + 1 bonus Standard Assessment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50 assessments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Badge: Master + 3 bonus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100 assessments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Badge: Expert + 5 bonus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250 assessments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Badge: Legend</w:t>
            </w:r>
          </w:p>
        </w:tc>
      </w:tr>
    </w:tbl>
    <w:p w:rsidR="00000000" w:rsidDel="00000000" w:rsidP="00000000" w:rsidRDefault="00000000" w:rsidRPr="00000000" w14:paraId="00000020">
      <w:pPr>
        <w:rPr/>
      </w:pPr>
      <w:r w:rsidDel="00000000" w:rsidR="00000000" w:rsidRPr="00000000">
        <w:rPr>
          <w:b w:val="1"/>
          <w:bCs w:val="1"/>
          <w:rtl w:val="0"/>
        </w:rPr>
        <w:t xml:space="preserve">This supersedes the milestone table in the ThriveCart Integration Architecture doc §5.4</w:t>
      </w:r>
      <w:r w:rsidDel="00000000" w:rsidR="00000000" w:rsidRPr="00000000">
        <w:rPr>
          <w:rFonts w:ascii="Arial Unicode MS" w:cs="Arial Unicode MS" w:eastAsia="Arial Unicode MS" w:hAnsi="Arial Unicode MS"/>
          <w:rtl w:val="0"/>
        </w:rPr>
        <w:t xml:space="preserve">, which used different numbers (25→+1 credit only, 50→Practitioner, 100→Master+3, 250→Expert+5, no "Legend" tier). Ratified: this table is now authoritative. Backlog item — reconcile §5.4 of that doc to match, so the two documents don't drift.</w:t>
      </w:r>
    </w:p>
    <w:p w:rsidR="00000000" w:rsidDel="00000000" w:rsidP="00000000" w:rsidRDefault="00000000" w:rsidRPr="00000000" w14:paraId="00000021">
      <w:pPr>
        <w:rPr/>
      </w:pPr>
      <w:r w:rsidDel="00000000" w:rsidR="00000000" w:rsidRPr="00000000">
        <w:rPr>
          <w:rtl w:val="0"/>
        </w:rPr>
        <w:t xml:space="preserve">Below the bar: "You are here: N completed" + an accent-colored (</w:t>
      </w:r>
      <w:r w:rsidDel="00000000" w:rsidR="00000000" w:rsidRPr="00000000">
        <w:rPr>
          <w:rFonts w:ascii="Roboto Mono" w:cs="Roboto Mono" w:eastAsia="Roboto Mono" w:hAnsi="Roboto Mono"/>
          <w:color w:val="188038"/>
          <w:rtl w:val="0"/>
        </w:rPr>
        <w:t xml:space="preserve">#F68625</w:t>
      </w:r>
      <w:r w:rsidDel="00000000" w:rsidR="00000000" w:rsidRPr="00000000">
        <w:rPr>
          <w:rtl w:val="0"/>
        </w:rPr>
        <w:t xml:space="preserve">) nudge line, "N assessment(s) away from your next milestone!"</w:t>
      </w:r>
    </w:p>
    <w:p w:rsidR="00000000" w:rsidDel="00000000" w:rsidP="00000000" w:rsidRDefault="00000000" w:rsidRPr="00000000" w14:paraId="00000022">
      <w:pPr>
        <w:rPr/>
      </w:pPr>
      <w:r w:rsidDel="00000000" w:rsidR="00000000" w:rsidRPr="00000000">
        <w:rPr>
          <w:b w:val="1"/>
          <w:bCs w:val="1"/>
          <w:rtl w:val="0"/>
        </w:rPr>
        <w:t xml:space="preserve">Scope for PR3:</w:t>
      </w:r>
      <w:r w:rsidDel="00000000" w:rsidR="00000000" w:rsidRPr="00000000">
        <w:rPr>
          <w:rtl w:val="0"/>
        </w:rPr>
        <w:t xml:space="preserve"> build the visual tracker only, driven by the coach's real completed- assessment count (already queryable). Do </w:t>
      </w:r>
      <w:r w:rsidDel="00000000" w:rsidR="00000000" w:rsidRPr="00000000">
        <w:rPr>
          <w:b w:val="1"/>
          <w:bCs w:val="1"/>
          <w:rtl w:val="0"/>
        </w:rPr>
        <w:t xml:space="preserve">not</w:t>
      </w:r>
      <w:r w:rsidDel="00000000" w:rsidR="00000000" w:rsidRPr="00000000">
        <w:rPr>
          <w:rtl w:val="0"/>
        </w:rPr>
        <w:t xml:space="preserve"> build the backend that actually grants bonus credits at each threshold — that stays Phase 2 per the ThriveCart doc's explicit "not yet built" note on milestone detection. The bar must be accurate today; it simply doesn't auto-reward yet. If a coach crosses a threshold, nothing happens server-side — this is a deliberate, documented gap, not a bug.</w:t>
      </w:r>
    </w:p>
    <w:p w:rsidR="00000000" w:rsidDel="00000000" w:rsidP="00000000" w:rsidRDefault="00000000" w:rsidRPr="00000000" w14:paraId="00000023">
      <w:pPr>
        <w:pStyle w:val="Heading2"/>
        <w:rPr/>
      </w:pPr>
      <w:bookmarkStart w:colFirst="0" w:colLast="0" w:name="_21k8w5vcx79h" w:id="6"/>
      <w:bookmarkEnd w:id="6"/>
      <w:r w:rsidDel="00000000" w:rsidR="00000000" w:rsidRPr="00000000">
        <w:rPr>
          <w:rtl w:val="0"/>
        </w:rPr>
        <w:t xml:space="preserve">"Recent Clients" section</w:t>
      </w:r>
    </w:p>
    <w:p w:rsidR="00000000" w:rsidDel="00000000" w:rsidP="00000000" w:rsidRDefault="00000000" w:rsidRPr="00000000" w14:paraId="00000024">
      <w:pPr>
        <w:rPr/>
      </w:pPr>
      <w:r w:rsidDel="00000000" w:rsidR="00000000" w:rsidRPr="00000000">
        <w:rPr>
          <w:rtl w:val="0"/>
        </w:rPr>
        <w:t xml:space="preserve">Header row: "Recent Clients" title + "Onboard a New Client" button, top right (desktop/ tablet). Mobile: full-width button above the list instead.</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Desktop/tablet: table — Client Name (link, </w:t>
      </w:r>
      <w:r w:rsidDel="00000000" w:rsidR="00000000" w:rsidRPr="00000000">
        <w:rPr>
          <w:rFonts w:ascii="Roboto Mono" w:cs="Roboto Mono" w:eastAsia="Roboto Mono" w:hAnsi="Roboto Mono"/>
          <w:color w:val="188038"/>
          <w:rtl w:val="0"/>
        </w:rPr>
        <w:t xml:space="preserve">#00B2D9</w:t>
      </w:r>
      <w:r w:rsidDel="00000000" w:rsidR="00000000" w:rsidRPr="00000000">
        <w:rPr>
          <w:rtl w:val="0"/>
        </w:rPr>
        <w:t xml:space="preserve">) / Assessment Type / Date Provisioned / Status badge. Reuse the existing status-badge color conventions already established in the admin panel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~8848: e.g. Cancelled </w:t>
      </w:r>
      <w:r w:rsidDel="00000000" w:rsidR="00000000" w:rsidRPr="00000000">
        <w:rPr>
          <w:rFonts w:ascii="Roboto Mono" w:cs="Roboto Mono" w:eastAsia="Roboto Mono" w:hAnsi="Roboto Mono"/>
          <w:color w:val="188038"/>
          <w:rtl w:val="0"/>
        </w:rPr>
        <w:t xml:space="preserve">#c0392b</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#fdecea</w:t>
      </w:r>
      <w:r w:rsidDel="00000000" w:rsidR="00000000" w:rsidRPr="00000000">
        <w:rPr>
          <w:rtl w:val="0"/>
        </w:rPr>
        <w:t xml:space="preserve">) — extend that same convention for In Progress / Complete / Not Started.</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rFonts w:ascii="Arial Unicode MS" w:cs="Arial Unicode MS" w:eastAsia="Arial Unicode MS" w:hAnsi="Arial Unicode MS"/>
          <w:rtl w:val="0"/>
        </w:rPr>
        <w:t xml:space="preserve">Mobile: card-per-row, same fields stacked, "View all clients →" link at the bottom.</w:t>
      </w:r>
    </w:p>
    <w:p w:rsidR="00000000" w:rsidDel="00000000" w:rsidP="00000000" w:rsidRDefault="00000000" w:rsidRPr="00000000" w14:paraId="00000027">
      <w:pPr>
        <w:rPr/>
      </w:pPr>
      <w:r w:rsidDel="00000000" w:rsidR="00000000" w:rsidRPr="00000000">
        <w:rPr>
          <w:rtl w:val="0"/>
        </w:rPr>
        <w:t xml:space="preserve">Client name links point at the client detail view — that's PR4 (My Clients), not yet built. Same precedent as PR1's nav items: the link renders now and resolves once PR4 lands.</w:t>
      </w:r>
    </w:p>
    <w:p w:rsidR="00000000" w:rsidDel="00000000" w:rsidP="00000000" w:rsidRDefault="00000000" w:rsidRPr="00000000" w14:paraId="00000028">
      <w:pPr>
        <w:pStyle w:val="Heading2"/>
        <w:rPr/>
      </w:pPr>
      <w:bookmarkStart w:colFirst="0" w:colLast="0" w:name="_ygm6we75fyfq" w:id="7"/>
      <w:bookmarkEnd w:id="7"/>
      <w:r w:rsidDel="00000000" w:rsidR="00000000" w:rsidRPr="00000000">
        <w:rPr>
          <w:rtl w:val="0"/>
        </w:rPr>
        <w:t xml:space="preserve">"From InsightOut" section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Confirmed present, below the fold in the mockup (not dropped). Build exactly as originally spec'd in Design Spec v2.0: 5 most recent published announcements as cards, "View all announcements →" link. Requires the </w:t>
      </w:r>
      <w:r w:rsidDel="00000000" w:rsidR="00000000" w:rsidRPr="00000000">
        <w:rPr>
          <w:rFonts w:ascii="Roboto Mono" w:cs="Roboto Mono" w:eastAsia="Roboto Mono" w:hAnsi="Roboto Mono"/>
          <w:color w:val="188038"/>
          <w:rtl w:val="0"/>
        </w:rPr>
        <w:t xml:space="preserve">announcements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coach_announcement_reads</w:t>
      </w:r>
      <w:r w:rsidDel="00000000" w:rsidR="00000000" w:rsidRPr="00000000">
        <w:rPr>
          <w:rtl w:val="0"/>
        </w:rPr>
        <w:t xml:space="preserve"> tables (already fully spec'd in §9.10/§9.11, DDL confirmed absent from </w:t>
      </w:r>
      <w:r w:rsidDel="00000000" w:rsidR="00000000" w:rsidRPr="00000000">
        <w:rPr>
          <w:rFonts w:ascii="Roboto Mono" w:cs="Roboto Mono" w:eastAsia="Roboto Mono" w:hAnsi="Roboto Mono"/>
          <w:color w:val="188038"/>
          <w:rtl w:val="0"/>
        </w:rPr>
        <w:t xml:space="preserve">db.js</w:t>
      </w:r>
      <w:r w:rsidDel="00000000" w:rsidR="00000000" w:rsidRPr="00000000">
        <w:rPr>
          <w:rtl w:val="0"/>
        </w:rPr>
        <w:t xml:space="preserve"> by CC's PR3 audit).</w:t>
      </w:r>
    </w:p>
    <w:p w:rsidR="00000000" w:rsidDel="00000000" w:rsidP="00000000" w:rsidRDefault="00000000" w:rsidRPr="00000000" w14:paraId="0000002A">
      <w:pPr>
        <w:rPr/>
      </w:pPr>
      <w:r w:rsidDel="00000000" w:rsidR="00000000" w:rsidRPr="00000000">
        <w:rPr>
          <w:b w:val="1"/>
          <w:bCs w:val="1"/>
          <w:rtl w:val="0"/>
        </w:rPr>
        <w:t xml:space="preserve">Link sequencing: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/coach/announcements</w:t>
      </w:r>
      <w:r w:rsidDel="00000000" w:rsidR="00000000" w:rsidRPr="00000000">
        <w:rPr>
          <w:rFonts w:ascii="Arial Unicode MS" w:cs="Arial Unicode MS" w:eastAsia="Arial Unicode MS" w:hAnsi="Arial Unicode MS"/>
          <w:rtl w:val="0"/>
        </w:rPr>
        <w:t xml:space="preserve"> is PR12, not this PR. Omit the "View all →" link until PR12 ships (cleanest — the 5-card feed still renders fine without it, trivially re-added later). The feed itself will show an empty state at launch, since there's no admin CMS yet to author announcements — needs a "nothing here yet" empty state matching the Resources page's Type-7-voice convention.</w:t>
      </w:r>
    </w:p>
    <w:p w:rsidR="00000000" w:rsidDel="00000000" w:rsidP="00000000" w:rsidRDefault="00000000" w:rsidRPr="00000000" w14:paraId="0000002B">
      <w:pPr>
        <w:pStyle w:val="Heading2"/>
        <w:rPr/>
      </w:pPr>
      <w:bookmarkStart w:colFirst="0" w:colLast="0" w:name="_lmclrsu5atq0" w:id="8"/>
      <w:bookmarkEnd w:id="8"/>
      <w:r w:rsidDel="00000000" w:rsidR="00000000" w:rsidRPr="00000000">
        <w:rPr>
          <w:rtl w:val="0"/>
        </w:rPr>
        <w:t xml:space="preserve">Mobile nav (hamburger menu)</w:t>
      </w:r>
    </w:p>
    <w:p w:rsidR="00000000" w:rsidDel="00000000" w:rsidP="00000000" w:rsidRDefault="00000000" w:rsidRPr="00000000" w14:paraId="0000002C">
      <w:pPr>
        <w:rPr/>
      </w:pPr>
      <w:r w:rsidDel="00000000" w:rsidR="00000000" w:rsidRPr="00000000">
        <w:rPr>
          <w:rtl w:val="0"/>
        </w:rPr>
        <w:t xml:space="preserve">Full-screen dark (</w:t>
      </w:r>
      <w:r w:rsidDel="00000000" w:rsidR="00000000" w:rsidRPr="00000000">
        <w:rPr>
          <w:rFonts w:ascii="Roboto Mono" w:cs="Roboto Mono" w:eastAsia="Roboto Mono" w:hAnsi="Roboto Mono"/>
          <w:color w:val="188038"/>
          <w:rtl w:val="0"/>
        </w:rPr>
        <w:t xml:space="preserve">#1E2A35</w:t>
      </w:r>
      <w:r w:rsidDel="00000000" w:rsidR="00000000" w:rsidRPr="00000000">
        <w:rPr>
          <w:rtl w:val="0"/>
        </w:rPr>
        <w:t xml:space="preserve">) drawer, opens on hamburger tap. Same zone structure as desktop nav (MY PRACTICE / GROW / MANAGE), Logout in </w:t>
      </w:r>
      <w:r w:rsidDel="00000000" w:rsidR="00000000" w:rsidRPr="00000000">
        <w:rPr>
          <w:rFonts w:ascii="Roboto Mono" w:cs="Roboto Mono" w:eastAsia="Roboto Mono" w:hAnsi="Roboto Mono"/>
          <w:color w:val="188038"/>
          <w:rtl w:val="0"/>
        </w:rPr>
        <w:t xml:space="preserve">#E05252</w:t>
      </w:r>
      <w:r w:rsidDel="00000000" w:rsidR="00000000" w:rsidRPr="00000000">
        <w:rPr>
          <w:rtl w:val="0"/>
        </w:rPr>
        <w:t xml:space="preserve"> at the bottom, Credits pill shown inline next to Manage Credits. Close via × top-right of the drawer.</w:t>
      </w:r>
    </w:p>
    <w:p w:rsidR="00000000" w:rsidDel="00000000" w:rsidP="00000000" w:rsidRDefault="00000000" w:rsidRPr="00000000" w14:paraId="0000002D">
      <w:pPr>
        <w:pStyle w:val="Heading2"/>
        <w:rPr/>
      </w:pPr>
      <w:bookmarkStart w:colFirst="0" w:colLast="0" w:name="_bs21zp3elw0r" w:id="9"/>
      <w:bookmarkEnd w:id="9"/>
      <w:r w:rsidDel="00000000" w:rsidR="00000000" w:rsidRPr="00000000">
        <w:rPr>
          <w:rtl w:val="0"/>
        </w:rPr>
        <w:t xml:space="preserve">Caching</w:t>
      </w:r>
    </w:p>
    <w:p w:rsidR="00000000" w:rsidDel="00000000" w:rsidP="00000000" w:rsidRDefault="00000000" w:rsidRPr="00000000" w14:paraId="0000002E">
      <w:pPr>
        <w:rPr/>
      </w:pPr>
      <w:r w:rsidDel="00000000" w:rsidR="00000000" w:rsidRPr="00000000">
        <w:rPr>
          <w:rtl w:val="0"/>
        </w:rPr>
        <w:t xml:space="preserve">Server-side equivalent of the Tier 3 (per-coach, private, short-TTL) posture from Design Spec §12.3: </w:t>
      </w:r>
      <w:r w:rsidDel="00000000" w:rsidR="00000000" w:rsidRPr="00000000">
        <w:rPr>
          <w:rFonts w:ascii="Roboto Mono" w:cs="Roboto Mono" w:eastAsia="Roboto Mono" w:hAnsi="Roboto Mono"/>
          <w:color w:val="188038"/>
          <w:rtl w:val="0"/>
        </w:rPr>
        <w:t xml:space="preserve">Cache-Control: no-store</w:t>
      </w:r>
      <w:r w:rsidDel="00000000" w:rsidR="00000000" w:rsidRPr="00000000">
        <w:rPr>
          <w:rtl w:val="0"/>
        </w:rPr>
        <w:t xml:space="preserve"> on the Dashboard response — credit balance and activity counts must always be fresh, never shared/edge-cached.</w:t>
      </w:r>
    </w:p>
    <w:p w:rsidR="00000000" w:rsidDel="00000000" w:rsidP="00000000" w:rsidRDefault="00000000" w:rsidRPr="00000000" w14:paraId="0000002F">
      <w:pPr>
        <w:rPr/>
      </w:pPr>
      <w:r w:rsidDel="00000000" w:rsidR="00000000" w:rsidRPr="00000000">
        <w:rPr>
          <w:i w:val="1"/>
          <w:iCs w:val="1"/>
          <w:rtl w:val="0"/>
        </w:rPr>
        <w:t xml:space="preserve">End of Addendum — v1.0</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4a86e8"/>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a86e8"/>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