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sz w:val="36"/>
          <w:szCs w:val="36"/>
        </w:rPr>
        <w:t xml:space="preserve">What's Changed in the Hive Typing Engine</w:t>
      </w:r>
    </w:p>
    <w:p>
      <w:pPr>
        <w:spacing w:after="100" w:before="0"/>
        <w:jc w:val="center"/>
      </w:pPr>
      <w:r>
        <w:rPr>
          <w:rFonts w:ascii="Arial" w:cs="Arial" w:eastAsia="Arial" w:hAnsi="Arial"/>
          <w:i/>
          <w:iCs/>
          <w:sz w:val="24"/>
          <w:szCs w:val="24"/>
        </w:rPr>
        <w:t xml:space="preserve">A plain-English summary of the work done from version 2.1 through version 2.4</w:t>
      </w:r>
    </w:p>
    <w:p>
      <w:pPr>
        <w:spacing w:after="320" w:before="0"/>
        <w:jc w:val="center"/>
      </w:pPr>
      <w:r>
        <w:rPr>
          <w:rFonts w:ascii="Arial" w:cs="Arial" w:eastAsia="Arial" w:hAnsi="Arial"/>
          <w:i/>
          <w:iCs/>
          <w:color w:val="7A96A6"/>
          <w:sz w:val="20"/>
          <w:szCs w:val="20"/>
        </w:rPr>
        <w:t xml:space="preserve">For Cai and Monique. No technical jargon, no JSON. Just what changed and why.</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The big picture</w:t>
      </w:r>
    </w:p>
    <w:p>
      <w:pPr>
        <w:spacing w:after="80" w:before="80"/>
      </w:pPr>
      <w:r>
        <w:rPr>
          <w:rFonts w:ascii="Arial" w:cs="Arial" w:eastAsia="Arial" w:hAnsi="Arial"/>
          <w:b w:val="false"/>
          <w:bCs w:val="false"/>
          <w:i w:val="false"/>
          <w:iCs w:val="false"/>
          <w:sz w:val="22"/>
          <w:szCs w:val="22"/>
        </w:rPr>
        <w:t xml:space="preserve">Since version 2.1, the Hive Typing Engine has been improved in two significant ways:</w:t>
      </w:r>
    </w:p>
    <w:p>
      <w:pPr>
        <w:spacing w:after="80" w:before="80"/>
      </w:pPr>
      <w:r>
        <w:rPr>
          <w:rFonts w:ascii="Arial" w:cs="Arial" w:eastAsia="Arial" w:hAnsi="Arial"/>
          <w:b/>
          <w:bCs/>
          <w:i w:val="false"/>
          <w:iCs w:val="false"/>
          <w:sz w:val="22"/>
          <w:szCs w:val="22"/>
        </w:rPr>
        <w:t xml:space="preserve">1. The coach report has been completely reimagined. </w:t>
      </w:r>
      <w:r>
        <w:rPr>
          <w:rFonts w:ascii="Arial" w:cs="Arial" w:eastAsia="Arial" w:hAnsi="Arial"/>
          <w:b w:val="false"/>
          <w:bCs w:val="false"/>
          <w:i w:val="false"/>
          <w:iCs w:val="false"/>
          <w:sz w:val="22"/>
          <w:szCs w:val="22"/>
        </w:rPr>
        <w:t xml:space="preserve">What used to be a short technical note for Cai is now a structured, six-section debrief preparation tool that helps a coach walk into a session ready to support the client.</w:t>
      </w:r>
    </w:p>
    <w:p>
      <w:pPr>
        <w:spacing w:after="80" w:before="80"/>
      </w:pPr>
      <w:r>
        <w:rPr>
          <w:rFonts w:ascii="Arial" w:cs="Arial" w:eastAsia="Arial" w:hAnsi="Arial"/>
          <w:b/>
          <w:bCs/>
          <w:i w:val="false"/>
          <w:iCs w:val="false"/>
          <w:sz w:val="22"/>
          <w:szCs w:val="22"/>
        </w:rPr>
        <w:t xml:space="preserve">2. The client report has been substantially expanded. </w:t>
      </w:r>
      <w:r>
        <w:rPr>
          <w:rFonts w:ascii="Arial" w:cs="Arial" w:eastAsia="Arial" w:hAnsi="Arial"/>
          <w:b w:val="false"/>
          <w:bCs w:val="false"/>
          <w:i w:val="false"/>
          <w:iCs w:val="false"/>
          <w:sz w:val="22"/>
          <w:szCs w:val="22"/>
        </w:rPr>
        <w:t xml:space="preserve">What used to be a single AI-generated paragraph plus minimal type information is now a richer, multi-section experience that introduces the client to their type with proper depth and care.</w:t>
      </w:r>
    </w:p>
    <w:p>
      <w:pPr>
        <w:spacing w:after="80" w:before="80"/>
      </w:pPr>
      <w:r>
        <w:rPr>
          <w:rFonts w:ascii="Arial" w:cs="Arial" w:eastAsia="Arial" w:hAnsi="Arial"/>
          <w:b w:val="false"/>
          <w:bCs w:val="false"/>
          <w:i w:val="false"/>
          <w:iCs w:val="false"/>
          <w:sz w:val="22"/>
          <w:szCs w:val="22"/>
        </w:rPr>
        <w:t xml:space="preserve">These two pieces of work happened in parallel — the coach report was built in one chat, the client report in another — and version 2.4 is the first time they live together in a single specification document.</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What changed in the coach report</w:t>
      </w:r>
    </w:p>
    <w:p>
      <w:pPr>
        <w:spacing w:after="160" w:before="360"/>
      </w:pPr>
      <w:r>
        <w:rPr>
          <w:rFonts w:ascii="Arial" w:cs="Arial" w:eastAsia="Arial" w:hAnsi="Arial"/>
          <w:b/>
          <w:bCs/>
          <w:sz w:val="30"/>
          <w:szCs w:val="30"/>
        </w:rPr>
        <w:t xml:space="preserve">From a brief note to a session prep tool</w:t>
      </w:r>
    </w:p>
    <w:p>
      <w:pPr>
        <w:spacing w:after="80" w:before="80"/>
      </w:pPr>
      <w:r>
        <w:rPr>
          <w:rFonts w:ascii="Arial" w:cs="Arial" w:eastAsia="Arial" w:hAnsi="Arial"/>
          <w:b/>
          <w:bCs/>
          <w:i w:val="false"/>
          <w:iCs w:val="false"/>
          <w:sz w:val="22"/>
          <w:szCs w:val="22"/>
        </w:rPr>
        <w:t xml:space="preserve">Before (v2.1): </w:t>
      </w:r>
      <w:r>
        <w:rPr>
          <w:rFonts w:ascii="Arial" w:cs="Arial" w:eastAsia="Arial" w:hAnsi="Arial"/>
          <w:b w:val="false"/>
          <w:bCs w:val="false"/>
          <w:i w:val="false"/>
          <w:iCs w:val="false"/>
          <w:sz w:val="22"/>
          <w:szCs w:val="22"/>
        </w:rPr>
        <w:t xml:space="preserve">Two or three sentences for Cai that named the hypothesis, reported the confidence level, and suggested one probe.</w:t>
      </w:r>
    </w:p>
    <w:p>
      <w:pPr>
        <w:spacing w:after="80" w:before="80"/>
      </w:pPr>
      <w:r>
        <w:rPr>
          <w:rFonts w:ascii="Arial" w:cs="Arial" w:eastAsia="Arial" w:hAnsi="Arial"/>
          <w:b/>
          <w:bCs/>
          <w:i w:val="false"/>
          <w:iCs w:val="false"/>
          <w:sz w:val="22"/>
          <w:szCs w:val="22"/>
        </w:rPr>
        <w:t xml:space="preserve">After (v2.4): </w:t>
      </w:r>
      <w:r>
        <w:rPr>
          <w:rFonts w:ascii="Arial" w:cs="Arial" w:eastAsia="Arial" w:hAnsi="Arial"/>
          <w:b w:val="false"/>
          <w:bCs w:val="false"/>
          <w:i w:val="false"/>
          <w:iCs w:val="false"/>
          <w:sz w:val="22"/>
          <w:szCs w:val="22"/>
        </w:rPr>
        <w:t xml:space="preserve">A six-section structured report (with two conditional add-on sections) organized around the conversation Cai or Monique will have with the client.</w:t>
      </w:r>
    </w:p>
    <w:p>
      <w:pPr>
        <w:spacing w:after="80" w:before="80"/>
      </w:pPr>
      <w:r>
        <w:rPr>
          <w:rFonts w:ascii="Arial" w:cs="Arial" w:eastAsia="Arial" w:hAnsi="Arial"/>
          <w:b w:val="false"/>
          <w:bCs w:val="false"/>
          <w:i w:val="false"/>
          <w:iCs w:val="false"/>
          <w:sz w:val="22"/>
          <w:szCs w:val="22"/>
        </w:rPr>
        <w:t xml:space="preserve">The new sections walk a coach through the debrief in the order they typically occur:</w:t>
      </w:r>
    </w:p>
    <w:p>
      <w:pPr>
        <w:pStyle w:val="ListParagraph"/>
        <w:numPr>
          <w:ilvl w:val="0"/>
          <w:numId w:val="2"/>
        </w:numPr>
        <w:spacing w:after="40" w:before="40"/>
      </w:pPr>
      <w:r>
        <w:rPr>
          <w:rFonts w:ascii="Arial" w:cs="Arial" w:eastAsia="Arial" w:hAnsi="Arial"/>
          <w:b/>
          <w:bCs/>
          <w:i w:val="false"/>
          <w:iCs w:val="false"/>
          <w:sz w:val="22"/>
          <w:szCs w:val="22"/>
        </w:rPr>
        <w:t xml:space="preserve">Your Read on This Client</w:t>
      </w:r>
      <w:r>
        <w:rPr>
          <w:rFonts w:ascii="Arial" w:cs="Arial" w:eastAsia="Arial" w:hAnsi="Arial"/>
          <w:b w:val="false"/>
          <w:bCs w:val="false"/>
          <w:i w:val="false"/>
          <w:iCs w:val="false"/>
          <w:sz w:val="22"/>
          <w:szCs w:val="22"/>
        </w:rPr>
        <w:t xml:space="preserve"> — the at-a-glance summary read in 1-2 minutes before the session</w:t>
      </w:r>
    </w:p>
    <w:p>
      <w:pPr>
        <w:pStyle w:val="ListParagraph"/>
        <w:numPr>
          <w:ilvl w:val="0"/>
          <w:numId w:val="2"/>
        </w:numPr>
        <w:spacing w:after="40" w:before="40"/>
      </w:pPr>
      <w:r>
        <w:rPr>
          <w:rFonts w:ascii="Arial" w:cs="Arial" w:eastAsia="Arial" w:hAnsi="Arial"/>
          <w:b/>
          <w:bCs/>
          <w:i w:val="false"/>
          <w:iCs w:val="false"/>
          <w:sz w:val="22"/>
          <w:szCs w:val="22"/>
        </w:rPr>
        <w:t xml:space="preserve">Debriefing Core Motivation and Worldview</w:t>
      </w:r>
      <w:r>
        <w:rPr>
          <w:rFonts w:ascii="Arial" w:cs="Arial" w:eastAsia="Arial" w:hAnsi="Arial"/>
          <w:b w:val="false"/>
          <w:bCs w:val="false"/>
          <w:i w:val="false"/>
          <w:iCs w:val="false"/>
          <w:sz w:val="22"/>
          <w:szCs w:val="22"/>
        </w:rPr>
        <w:t xml:space="preserve"> — how to present the heart of the type</w:t>
      </w:r>
    </w:p>
    <w:p>
      <w:pPr>
        <w:pStyle w:val="ListParagraph"/>
        <w:numPr>
          <w:ilvl w:val="0"/>
          <w:numId w:val="2"/>
        </w:numPr>
        <w:spacing w:after="40" w:before="40"/>
      </w:pPr>
      <w:r>
        <w:rPr>
          <w:rFonts w:ascii="Arial" w:cs="Arial" w:eastAsia="Arial" w:hAnsi="Arial"/>
          <w:b/>
          <w:bCs/>
          <w:i w:val="false"/>
          <w:iCs w:val="false"/>
          <w:sz w:val="22"/>
          <w:szCs w:val="22"/>
        </w:rPr>
        <w:t xml:space="preserve">Debriefing Patterns of Thinking, Feeling, and Behaving</w:t>
      </w:r>
      <w:r>
        <w:rPr>
          <w:rFonts w:ascii="Arial" w:cs="Arial" w:eastAsia="Arial" w:hAnsi="Arial"/>
          <w:b w:val="false"/>
          <w:bCs w:val="false"/>
          <w:i w:val="false"/>
          <w:iCs w:val="false"/>
          <w:sz w:val="22"/>
          <w:szCs w:val="22"/>
        </w:rPr>
        <w:t xml:space="preserve"> — what to expect, what to watch for</w:t>
      </w:r>
    </w:p>
    <w:p>
      <w:pPr>
        <w:pStyle w:val="ListParagraph"/>
        <w:numPr>
          <w:ilvl w:val="0"/>
          <w:numId w:val="2"/>
        </w:numPr>
        <w:spacing w:after="40" w:before="40"/>
      </w:pPr>
      <w:r>
        <w:rPr>
          <w:rFonts w:ascii="Arial" w:cs="Arial" w:eastAsia="Arial" w:hAnsi="Arial"/>
          <w:b/>
          <w:bCs/>
          <w:i w:val="false"/>
          <w:iCs w:val="false"/>
          <w:sz w:val="22"/>
          <w:szCs w:val="22"/>
        </w:rPr>
        <w:t xml:space="preserve">Debriefing Instinct and Subtype</w:t>
      </w:r>
      <w:r>
        <w:rPr>
          <w:rFonts w:ascii="Arial" w:cs="Arial" w:eastAsia="Arial" w:hAnsi="Arial"/>
          <w:b w:val="false"/>
          <w:bCs w:val="false"/>
          <w:i w:val="false"/>
          <w:iCs w:val="false"/>
          <w:sz w:val="22"/>
          <w:szCs w:val="22"/>
        </w:rPr>
        <w:t xml:space="preserve"> — the client's particular flavor of their type</w:t>
      </w:r>
    </w:p>
    <w:p>
      <w:pPr>
        <w:pStyle w:val="ListParagraph"/>
        <w:numPr>
          <w:ilvl w:val="0"/>
          <w:numId w:val="2"/>
        </w:numPr>
        <w:spacing w:after="40" w:before="40"/>
      </w:pPr>
      <w:r>
        <w:rPr>
          <w:rFonts w:ascii="Arial" w:cs="Arial" w:eastAsia="Arial" w:hAnsi="Arial"/>
          <w:b/>
          <w:bCs/>
          <w:i w:val="false"/>
          <w:iCs w:val="false"/>
          <w:sz w:val="22"/>
          <w:szCs w:val="22"/>
        </w:rPr>
        <w:t xml:space="preserve">Debriefing Wings, Lines, and Resources</w:t>
      </w:r>
      <w:r>
        <w:rPr>
          <w:rFonts w:ascii="Arial" w:cs="Arial" w:eastAsia="Arial" w:hAnsi="Arial"/>
          <w:b w:val="false"/>
          <w:bCs w:val="false"/>
          <w:i w:val="false"/>
          <w:iCs w:val="false"/>
          <w:sz w:val="22"/>
          <w:szCs w:val="22"/>
        </w:rPr>
        <w:t xml:space="preserve"> — what the client has available</w:t>
      </w:r>
    </w:p>
    <w:p>
      <w:pPr>
        <w:pStyle w:val="ListParagraph"/>
        <w:numPr>
          <w:ilvl w:val="0"/>
          <w:numId w:val="2"/>
        </w:numPr>
        <w:spacing w:after="40" w:before="40"/>
      </w:pPr>
      <w:r>
        <w:rPr>
          <w:rFonts w:ascii="Arial" w:cs="Arial" w:eastAsia="Arial" w:hAnsi="Arial"/>
          <w:b/>
          <w:bCs/>
          <w:i w:val="false"/>
          <w:iCs w:val="false"/>
          <w:sz w:val="22"/>
          <w:szCs w:val="22"/>
        </w:rPr>
        <w:t xml:space="preserve">If the Conversation Goes Sideways</w:t>
      </w:r>
      <w:r>
        <w:rPr>
          <w:rFonts w:ascii="Arial" w:cs="Arial" w:eastAsia="Arial" w:hAnsi="Arial"/>
          <w:b w:val="false"/>
          <w:bCs w:val="false"/>
          <w:i w:val="false"/>
          <w:iCs w:val="false"/>
          <w:sz w:val="22"/>
          <w:szCs w:val="22"/>
        </w:rPr>
        <w:t xml:space="preserve"> — what to do if the client resonates strongly, pushes back, or feels confused</w:t>
      </w:r>
    </w:p>
    <w:p>
      <w:pPr>
        <w:spacing w:after="80" w:before="80"/>
      </w:pPr>
      <w:r>
        <w:rPr>
          <w:rFonts w:ascii="Arial" w:cs="Arial" w:eastAsia="Arial" w:hAnsi="Arial"/>
          <w:b w:val="false"/>
          <w:bCs w:val="false"/>
          <w:i w:val="false"/>
          <w:iCs w:val="false"/>
          <w:sz w:val="22"/>
          <w:szCs w:val="22"/>
        </w:rPr>
        <w:t xml:space="preserve">Two conditional sections appear only when relevant:</w:t>
      </w:r>
    </w:p>
    <w:p>
      <w:pPr>
        <w:pStyle w:val="ListParagraph"/>
        <w:numPr>
          <w:ilvl w:val="0"/>
          <w:numId w:val="2"/>
        </w:numPr>
        <w:spacing w:after="40" w:before="40"/>
      </w:pPr>
      <w:r>
        <w:rPr>
          <w:rFonts w:ascii="Arial" w:cs="Arial" w:eastAsia="Arial" w:hAnsi="Arial"/>
          <w:b/>
          <w:bCs/>
          <w:i w:val="false"/>
          <w:iCs w:val="false"/>
          <w:sz w:val="22"/>
          <w:szCs w:val="22"/>
        </w:rPr>
        <w:t xml:space="preserve">Section 1A — Counter-Type Considerations</w:t>
      </w:r>
      <w:r>
        <w:rPr>
          <w:rFonts w:ascii="Arial" w:cs="Arial" w:eastAsia="Arial" w:hAnsi="Arial"/>
          <w:b w:val="false"/>
          <w:bCs w:val="false"/>
          <w:i w:val="false"/>
          <w:iCs w:val="false"/>
          <w:sz w:val="22"/>
          <w:szCs w:val="22"/>
        </w:rPr>
        <w:t xml:space="preserve"> appears when the client is one of the five counter-types (SP3, SX6, SP4, SX1, SO7). It helps the coach introduce the counter-type framing early so the client doesn't dismiss the type when they read a generic description.</w:t>
      </w:r>
    </w:p>
    <w:p>
      <w:pPr>
        <w:pStyle w:val="ListParagraph"/>
        <w:numPr>
          <w:ilvl w:val="0"/>
          <w:numId w:val="2"/>
        </w:numPr>
        <w:spacing w:after="40" w:before="40"/>
      </w:pPr>
      <w:r>
        <w:rPr>
          <w:rFonts w:ascii="Arial" w:cs="Arial" w:eastAsia="Arial" w:hAnsi="Arial"/>
          <w:b/>
          <w:bCs/>
          <w:i w:val="false"/>
          <w:iCs w:val="false"/>
          <w:sz w:val="22"/>
          <w:szCs w:val="22"/>
        </w:rPr>
        <w:t xml:space="preserve">Section 6A — Type Confusion Observation Block</w:t>
      </w:r>
      <w:r>
        <w:rPr>
          <w:rFonts w:ascii="Arial" w:cs="Arial" w:eastAsia="Arial" w:hAnsi="Arial"/>
          <w:b w:val="false"/>
          <w:bCs w:val="false"/>
          <w:i w:val="false"/>
          <w:iCs w:val="false"/>
          <w:sz w:val="22"/>
          <w:szCs w:val="22"/>
        </w:rPr>
        <w:t xml:space="preserve"> appears when the data showed real ambiguity between two types. It tells the coach what observation exercise the client has been given and how to debrief what they bring.</w:t>
      </w:r>
    </w:p>
    <w:p>
      <w:pPr>
        <w:spacing w:after="160" w:before="360"/>
      </w:pPr>
      <w:r>
        <w:rPr>
          <w:rFonts w:ascii="Arial" w:cs="Arial" w:eastAsia="Arial" w:hAnsi="Arial"/>
          <w:b/>
          <w:bCs/>
          <w:sz w:val="30"/>
          <w:szCs w:val="30"/>
        </w:rPr>
        <w:t xml:space="preserve">Coaching pointer voice</w:t>
      </w:r>
    </w:p>
    <w:p>
      <w:pPr>
        <w:spacing w:after="80" w:before="80"/>
      </w:pPr>
      <w:r>
        <w:rPr>
          <w:rFonts w:ascii="Arial" w:cs="Arial" w:eastAsia="Arial" w:hAnsi="Arial"/>
          <w:b w:val="false"/>
          <w:bCs w:val="false"/>
          <w:i w:val="false"/>
          <w:iCs w:val="false"/>
          <w:sz w:val="22"/>
          <w:szCs w:val="22"/>
        </w:rPr>
        <w:t xml:space="preserve">A new guidance section was added that asks the engine to write coaching pointers in a relational, presence-based voice rather than a diagnostic one. Instead of "Watch for the moment the client starts to explain rather than feel," the engine writes "When explanation shows up, consider naming it gently — 'I notice you moved into explaining just now; what's happening inside?'"</w:t>
      </w:r>
    </w:p>
    <w:p>
      <w:pPr>
        <w:spacing w:after="80" w:before="80"/>
      </w:pPr>
      <w:r>
        <w:rPr>
          <w:rFonts w:ascii="Arial" w:cs="Arial" w:eastAsia="Arial" w:hAnsi="Arial"/>
          <w:b w:val="false"/>
          <w:bCs w:val="false"/>
          <w:i w:val="false"/>
          <w:iCs w:val="false"/>
          <w:sz w:val="22"/>
          <w:szCs w:val="22"/>
        </w:rPr>
        <w:t xml:space="preserve">This was inspired by Cai and Monique's Co-Active and ORSC training. The shift is from watch this to work with this — language that supports the coach's presence in the moment rather than positioning them as a diagnostician of the client.</w:t>
      </w:r>
    </w:p>
    <w:p>
      <w:pPr>
        <w:spacing w:after="160" w:before="360"/>
      </w:pPr>
      <w:r>
        <w:rPr>
          <w:rFonts w:ascii="Arial" w:cs="Arial" w:eastAsia="Arial" w:hAnsi="Arial"/>
          <w:b/>
          <w:bCs/>
          <w:sz w:val="30"/>
          <w:szCs w:val="30"/>
        </w:rPr>
        <w:t xml:space="preserve">How the engine handles ambiguity</w:t>
      </w:r>
    </w:p>
    <w:p>
      <w:pPr>
        <w:spacing w:after="80" w:before="80"/>
      </w:pPr>
      <w:r>
        <w:rPr>
          <w:rFonts w:ascii="Arial" w:cs="Arial" w:eastAsia="Arial" w:hAnsi="Arial"/>
          <w:b w:val="false"/>
          <w:bCs w:val="false"/>
          <w:i w:val="false"/>
          <w:iCs w:val="false"/>
          <w:sz w:val="22"/>
          <w:szCs w:val="22"/>
        </w:rPr>
        <w:t xml:space="preserve">A new way of reading framework data was added. The Hornevian, Harmonic, and Object Relations frameworks each describe patterns that correlate with type. When a client answers in a way that doesn't match the expected pattern for their type, the engine now treats this as a coaching lead rather than a contradiction.</w:t>
      </w:r>
    </w:p>
    <w:p>
      <w:pPr>
        <w:spacing w:after="80" w:before="80"/>
      </w:pPr>
      <w:r>
        <w:rPr>
          <w:rFonts w:ascii="Arial" w:cs="Arial" w:eastAsia="Arial" w:hAnsi="Arial"/>
          <w:b w:val="false"/>
          <w:bCs w:val="false"/>
          <w:i w:val="false"/>
          <w:iCs w:val="false"/>
          <w:sz w:val="22"/>
          <w:szCs w:val="22"/>
        </w:rPr>
        <w:t xml:space="preserve">The escalation works like this:</w:t>
      </w:r>
    </w:p>
    <w:p>
      <w:pPr>
        <w:pStyle w:val="ListParagraph"/>
        <w:numPr>
          <w:ilvl w:val="0"/>
          <w:numId w:val="2"/>
        </w:numPr>
        <w:spacing w:after="40" w:before="40"/>
      </w:pPr>
      <w:r>
        <w:rPr>
          <w:rFonts w:ascii="Arial" w:cs="Arial" w:eastAsia="Arial" w:hAnsi="Arial"/>
          <w:sz w:val="22"/>
          <w:szCs w:val="22"/>
        </w:rPr>
        <w:t xml:space="preserve">One mismatch → surface as a coaching lead in Section 3</w:t>
      </w:r>
    </w:p>
    <w:p>
      <w:pPr>
        <w:pStyle w:val="ListParagraph"/>
        <w:numPr>
          <w:ilvl w:val="0"/>
          <w:numId w:val="2"/>
        </w:numPr>
        <w:spacing w:after="40" w:before="40"/>
      </w:pPr>
      <w:r>
        <w:rPr>
          <w:rFonts w:ascii="Arial" w:cs="Arial" w:eastAsia="Arial" w:hAnsi="Arial"/>
          <w:sz w:val="22"/>
          <w:szCs w:val="22"/>
        </w:rPr>
        <w:t xml:space="preserve">Two mismatches → also flag in Section 1 ("hold the hypothesis with more openness")</w:t>
      </w:r>
    </w:p>
    <w:p>
      <w:pPr>
        <w:pStyle w:val="ListParagraph"/>
        <w:numPr>
          <w:ilvl w:val="0"/>
          <w:numId w:val="2"/>
        </w:numPr>
        <w:spacing w:after="40" w:before="40"/>
      </w:pPr>
      <w:r>
        <w:rPr>
          <w:rFonts w:ascii="Arial" w:cs="Arial" w:eastAsia="Arial" w:hAnsi="Arial"/>
          <w:sz w:val="22"/>
          <w:szCs w:val="22"/>
        </w:rPr>
        <w:t xml:space="preserve">Three mismatches → raise a new flag and surface prominently; the type hypothesis itself may need re-examination</w:t>
      </w:r>
    </w:p>
    <w:p>
      <w:pPr>
        <w:spacing w:after="80" w:before="80"/>
      </w:pPr>
      <w:r>
        <w:rPr>
          <w:rFonts w:ascii="Arial" w:cs="Arial" w:eastAsia="Arial" w:hAnsi="Arial"/>
          <w:b w:val="false"/>
          <w:bCs w:val="false"/>
          <w:i w:val="false"/>
          <w:iCs w:val="false"/>
          <w:sz w:val="22"/>
          <w:szCs w:val="22"/>
        </w:rPr>
        <w:t xml:space="preserve">This means the report now honestly tells the coach when a client is answering atypically for their type, which is often the most diagnostically interesting information.</w:t>
      </w:r>
    </w:p>
    <w:p>
      <w:pPr>
        <w:spacing w:after="160" w:before="360"/>
      </w:pPr>
      <w:r>
        <w:rPr>
          <w:rFonts w:ascii="Arial" w:cs="Arial" w:eastAsia="Arial" w:hAnsi="Arial"/>
          <w:b/>
          <w:bCs/>
          <w:sz w:val="30"/>
          <w:szCs w:val="30"/>
        </w:rPr>
        <w:t xml:space="preserve">Stress and security data, reconsidered</w:t>
      </w:r>
    </w:p>
    <w:p>
      <w:pPr>
        <w:spacing w:after="80" w:before="80"/>
      </w:pPr>
      <w:r>
        <w:rPr>
          <w:rFonts w:ascii="Arial" w:cs="Arial" w:eastAsia="Arial" w:hAnsi="Arial"/>
          <w:b w:val="false"/>
          <w:bCs w:val="false"/>
          <w:i w:val="false"/>
          <w:iCs w:val="false"/>
          <w:sz w:val="22"/>
          <w:szCs w:val="22"/>
        </w:rPr>
        <w:t xml:space="preserve">In earlier versions, the engine reported "the client's response showed a slight lean toward Type X's stress movement" based on a single answer. Monique pointed out that one question is not enough data to make that kind of claim, and that the developmental work isn't about confirming which line is more active — it's about helping the client notice these influences as they appear.</w:t>
      </w:r>
    </w:p>
    <w:p>
      <w:pPr>
        <w:spacing w:after="80" w:before="80"/>
      </w:pPr>
      <w:r>
        <w:rPr>
          <w:rFonts w:ascii="Arial" w:cs="Arial" w:eastAsia="Arial" w:hAnsi="Arial"/>
          <w:b w:val="false"/>
          <w:bCs w:val="false"/>
          <w:i w:val="false"/>
          <w:iCs w:val="false"/>
          <w:sz w:val="22"/>
          <w:szCs w:val="22"/>
        </w:rPr>
        <w:t xml:space="preserve">So in v2.4, the wings and lines section was restructured. Instead of making claims about which wing or line is "more active," the report presents static type-specific descriptions of what each wing and each line brings — and the coaching prompts focus on helping the client recognize these influences in real moments and observe the energy and impact.</w:t>
      </w:r>
    </w:p>
    <w:p>
      <w:pPr>
        <w:spacing w:after="160" w:before="360"/>
      </w:pPr>
      <w:r>
        <w:rPr>
          <w:rFonts w:ascii="Arial" w:cs="Arial" w:eastAsia="Arial" w:hAnsi="Arial"/>
          <w:b/>
          <w:bCs/>
          <w:sz w:val="30"/>
          <w:szCs w:val="30"/>
        </w:rPr>
        <w:t xml:space="preserve">A 27-subtype reference for consistent quality</w:t>
      </w:r>
    </w:p>
    <w:p>
      <w:pPr>
        <w:spacing w:after="80" w:before="80"/>
      </w:pPr>
      <w:r>
        <w:rPr>
          <w:rFonts w:ascii="Arial" w:cs="Arial" w:eastAsia="Arial" w:hAnsi="Arial"/>
          <w:b w:val="false"/>
          <w:bCs w:val="false"/>
          <w:i w:val="false"/>
          <w:iCs w:val="false"/>
          <w:sz w:val="22"/>
          <w:szCs w:val="22"/>
        </w:rPr>
        <w:t xml:space="preserve">A new reference table was added that gives the engine specific guidance for all 27 subtypes (9 types × 3 instincts). For each subtype, the reference describes how the instinct shapes the type, why the subtype can be easy to miss, and what the coach should watch for. This means the coach report's "Why this subtype can be easy to miss" section is now grounded in consistent material across all 27 subtypes — not just the five counter-types and Nine.</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What changed in the client report</w:t>
      </w:r>
    </w:p>
    <w:p>
      <w:pPr>
        <w:spacing w:after="160" w:before="360"/>
      </w:pPr>
      <w:r>
        <w:rPr>
          <w:rFonts w:ascii="Arial" w:cs="Arial" w:eastAsia="Arial" w:hAnsi="Arial"/>
          <w:b/>
          <w:bCs/>
          <w:sz w:val="30"/>
          <w:szCs w:val="30"/>
        </w:rPr>
        <w:t xml:space="preserve">From one paragraph to a multi-section experience</w:t>
      </w:r>
    </w:p>
    <w:p>
      <w:pPr>
        <w:spacing w:after="80" w:before="80"/>
      </w:pPr>
      <w:r>
        <w:rPr>
          <w:rFonts w:ascii="Arial" w:cs="Arial" w:eastAsia="Arial" w:hAnsi="Arial"/>
          <w:b/>
          <w:bCs/>
          <w:i w:val="false"/>
          <w:iCs w:val="false"/>
          <w:sz w:val="22"/>
          <w:szCs w:val="22"/>
        </w:rPr>
        <w:t xml:space="preserve">Before (v2.1): </w:t>
      </w:r>
      <w:r>
        <w:rPr>
          <w:rFonts w:ascii="Arial" w:cs="Arial" w:eastAsia="Arial" w:hAnsi="Arial"/>
          <w:b w:val="false"/>
          <w:bCs w:val="false"/>
          <w:i w:val="false"/>
          <w:iCs w:val="false"/>
          <w:sz w:val="22"/>
          <w:szCs w:val="22"/>
        </w:rPr>
        <w:t xml:space="preserve">A single AI-generated narrative paragraph plus brief type-level descriptions of strengths, challenges, instinct, stress, and ease.</w:t>
      </w:r>
    </w:p>
    <w:p>
      <w:pPr>
        <w:spacing w:after="80" w:before="80"/>
      </w:pPr>
      <w:r>
        <w:rPr>
          <w:rFonts w:ascii="Arial" w:cs="Arial" w:eastAsia="Arial" w:hAnsi="Arial"/>
          <w:b/>
          <w:bCs/>
          <w:i w:val="false"/>
          <w:iCs w:val="false"/>
          <w:sz w:val="22"/>
          <w:szCs w:val="22"/>
        </w:rPr>
        <w:t xml:space="preserve">After (v2.4): </w:t>
      </w:r>
      <w:r>
        <w:rPr>
          <w:rFonts w:ascii="Arial" w:cs="Arial" w:eastAsia="Arial" w:hAnsi="Arial"/>
          <w:b w:val="false"/>
          <w:bCs w:val="false"/>
          <w:i w:val="false"/>
          <w:iCs w:val="false"/>
          <w:sz w:val="22"/>
          <w:szCs w:val="22"/>
        </w:rPr>
        <w:t xml:space="preserve">A multi-section client experience with proper introductions, deeper content, and AI-generated paragraphs that point to specific evidence in the client's responses.</w:t>
      </w:r>
    </w:p>
    <w:p>
      <w:pPr>
        <w:spacing w:after="160" w:before="360"/>
      </w:pPr>
      <w:r>
        <w:rPr>
          <w:rFonts w:ascii="Arial" w:cs="Arial" w:eastAsia="Arial" w:hAnsi="Arial"/>
          <w:b/>
          <w:bCs/>
          <w:sz w:val="30"/>
          <w:szCs w:val="30"/>
        </w:rPr>
        <w:t xml:space="preserve">The new structure of the client report</w:t>
      </w:r>
    </w:p>
    <w:p>
      <w:pPr>
        <w:spacing w:after="80" w:before="80"/>
      </w:pPr>
      <w:r>
        <w:rPr>
          <w:rFonts w:ascii="Arial" w:cs="Arial" w:eastAsia="Arial" w:hAnsi="Arial"/>
          <w:b w:val="false"/>
          <w:bCs w:val="false"/>
          <w:i w:val="false"/>
          <w:iCs w:val="false"/>
          <w:sz w:val="22"/>
          <w:szCs w:val="22"/>
        </w:rPr>
        <w:t xml:space="preserve">The report now opens with a brief primer on the Enneagram itself — a short paragraph that orients clients who are new to the system. Then it moves into:</w:t>
      </w:r>
    </w:p>
    <w:p>
      <w:pPr>
        <w:pStyle w:val="ListParagraph"/>
        <w:numPr>
          <w:ilvl w:val="0"/>
          <w:numId w:val="2"/>
        </w:numPr>
        <w:spacing w:after="40" w:before="40"/>
      </w:pPr>
      <w:r>
        <w:rPr>
          <w:rFonts w:ascii="Arial" w:cs="Arial" w:eastAsia="Arial" w:hAnsi="Arial"/>
          <w:b/>
          <w:bCs/>
          <w:i w:val="false"/>
          <w:iCs w:val="false"/>
          <w:sz w:val="22"/>
          <w:szCs w:val="22"/>
        </w:rPr>
        <w:t xml:space="preserve">A Note on This Result</w:t>
      </w:r>
      <w:r>
        <w:rPr>
          <w:rFonts w:ascii="Arial" w:cs="Arial" w:eastAsia="Arial" w:hAnsi="Arial"/>
          <w:b w:val="false"/>
          <w:bCs w:val="false"/>
          <w:i w:val="false"/>
          <w:iCs w:val="false"/>
          <w:sz w:val="22"/>
          <w:szCs w:val="22"/>
        </w:rPr>
        <w:t xml:space="preserve"> — the framing language ("this is a hypothesis, hold it lightly") that used to appear in the AI-generated paragraph, now lives here as static text once</w:t>
      </w:r>
    </w:p>
    <w:p>
      <w:pPr>
        <w:pStyle w:val="ListParagraph"/>
        <w:numPr>
          <w:ilvl w:val="0"/>
          <w:numId w:val="2"/>
        </w:numPr>
        <w:spacing w:after="40" w:before="40"/>
      </w:pPr>
      <w:r>
        <w:rPr>
          <w:rFonts w:ascii="Arial" w:cs="Arial" w:eastAsia="Arial" w:hAnsi="Arial"/>
          <w:b/>
          <w:bCs/>
          <w:i w:val="false"/>
          <w:iCs w:val="false"/>
          <w:sz w:val="22"/>
          <w:szCs w:val="22"/>
        </w:rPr>
        <w:t xml:space="preserve">What We Noticed About You</w:t>
      </w:r>
      <w:r>
        <w:rPr>
          <w:rFonts w:ascii="Arial" w:cs="Arial" w:eastAsia="Arial" w:hAnsi="Arial"/>
          <w:b w:val="false"/>
          <w:bCs w:val="false"/>
          <w:i w:val="false"/>
          <w:iCs w:val="false"/>
          <w:sz w:val="22"/>
          <w:szCs w:val="22"/>
        </w:rPr>
        <w:t xml:space="preserve"> — the AI-generated narrative, which now opens with something specific about the client (their words, their texture) instead of starting with "Based on your responses..."</w:t>
      </w:r>
    </w:p>
    <w:p>
      <w:pPr>
        <w:pStyle w:val="ListParagraph"/>
        <w:numPr>
          <w:ilvl w:val="0"/>
          <w:numId w:val="2"/>
        </w:numPr>
        <w:spacing w:after="40" w:before="40"/>
      </w:pPr>
      <w:r>
        <w:rPr>
          <w:rFonts w:ascii="Arial" w:cs="Arial" w:eastAsia="Arial" w:hAnsi="Arial"/>
          <w:b/>
          <w:bCs/>
          <w:i w:val="false"/>
          <w:iCs w:val="false"/>
          <w:sz w:val="22"/>
          <w:szCs w:val="22"/>
        </w:rPr>
        <w:t xml:space="preserve">Your Type at a Glance</w:t>
      </w:r>
      <w:r>
        <w:rPr>
          <w:rFonts w:ascii="Arial" w:cs="Arial" w:eastAsia="Arial" w:hAnsi="Arial"/>
          <w:b w:val="false"/>
          <w:bCs w:val="false"/>
          <w:i w:val="false"/>
          <w:iCs w:val="false"/>
          <w:sz w:val="22"/>
          <w:szCs w:val="22"/>
        </w:rPr>
        <w:t xml:space="preserve"> — How You See the World and Core Motivation, with a new follow-up paragraph showing how the client's responses point toward this motivation</w:t>
      </w:r>
    </w:p>
    <w:p>
      <w:pPr>
        <w:pStyle w:val="ListParagraph"/>
        <w:numPr>
          <w:ilvl w:val="0"/>
          <w:numId w:val="2"/>
        </w:numPr>
        <w:spacing w:after="40" w:before="40"/>
      </w:pPr>
      <w:r>
        <w:rPr>
          <w:rFonts w:ascii="Arial" w:cs="Arial" w:eastAsia="Arial" w:hAnsi="Arial"/>
          <w:b/>
          <w:bCs/>
          <w:i w:val="false"/>
          <w:iCs w:val="false"/>
          <w:sz w:val="22"/>
          <w:szCs w:val="22"/>
        </w:rPr>
        <w:t xml:space="preserve">Patterns of Thinking, Feeling, and Behaving</w:t>
      </w:r>
      <w:r>
        <w:rPr>
          <w:rFonts w:ascii="Arial" w:cs="Arial" w:eastAsia="Arial" w:hAnsi="Arial"/>
          <w:b w:val="false"/>
          <w:bCs w:val="false"/>
          <w:i w:val="false"/>
          <w:iCs w:val="false"/>
          <w:sz w:val="22"/>
          <w:szCs w:val="22"/>
        </w:rPr>
        <w:t xml:space="preserve"> — three new subsections describing the type's mental, emotional, and behavioral patterns</w:t>
      </w:r>
    </w:p>
    <w:p>
      <w:pPr>
        <w:pStyle w:val="ListParagraph"/>
        <w:numPr>
          <w:ilvl w:val="0"/>
          <w:numId w:val="2"/>
        </w:numPr>
        <w:spacing w:after="40" w:before="40"/>
      </w:pPr>
      <w:r>
        <w:rPr>
          <w:rFonts w:ascii="Arial" w:cs="Arial" w:eastAsia="Arial" w:hAnsi="Arial"/>
          <w:b/>
          <w:bCs/>
          <w:i w:val="false"/>
          <w:iCs w:val="false"/>
          <w:sz w:val="22"/>
          <w:szCs w:val="22"/>
        </w:rPr>
        <w:t xml:space="preserve">Strengths and Challenges</w:t>
      </w:r>
      <w:r>
        <w:rPr>
          <w:rFonts w:ascii="Arial" w:cs="Arial" w:eastAsia="Arial" w:hAnsi="Arial"/>
          <w:b w:val="false"/>
          <w:bCs w:val="false"/>
          <w:i w:val="false"/>
          <w:iCs w:val="false"/>
          <w:sz w:val="22"/>
          <w:szCs w:val="22"/>
        </w:rPr>
        <w:t xml:space="preserve"> — with a brief preamble framing them as characteristic of this type</w:t>
      </w:r>
    </w:p>
    <w:p>
      <w:pPr>
        <w:pStyle w:val="ListParagraph"/>
        <w:numPr>
          <w:ilvl w:val="0"/>
          <w:numId w:val="2"/>
        </w:numPr>
        <w:spacing w:after="40" w:before="40"/>
      </w:pPr>
      <w:r>
        <w:rPr>
          <w:rFonts w:ascii="Arial" w:cs="Arial" w:eastAsia="Arial" w:hAnsi="Arial"/>
          <w:b/>
          <w:bCs/>
          <w:i w:val="false"/>
          <w:iCs w:val="false"/>
          <w:sz w:val="22"/>
          <w:szCs w:val="22"/>
        </w:rPr>
        <w:t xml:space="preserve">Development Tips</w:t>
      </w:r>
      <w:r>
        <w:rPr>
          <w:rFonts w:ascii="Arial" w:cs="Arial" w:eastAsia="Arial" w:hAnsi="Arial"/>
          <w:b w:val="false"/>
          <w:bCs w:val="false"/>
          <w:i w:val="false"/>
          <w:iCs w:val="false"/>
          <w:sz w:val="22"/>
          <w:szCs w:val="22"/>
        </w:rPr>
        <w:t xml:space="preserve"> — five practical suggestions, drawn from the type library</w:t>
      </w:r>
    </w:p>
    <w:p>
      <w:pPr>
        <w:pStyle w:val="ListParagraph"/>
        <w:numPr>
          <w:ilvl w:val="0"/>
          <w:numId w:val="2"/>
        </w:numPr>
        <w:spacing w:after="40" w:before="40"/>
      </w:pPr>
      <w:r>
        <w:rPr>
          <w:rFonts w:ascii="Arial" w:cs="Arial" w:eastAsia="Arial" w:hAnsi="Arial"/>
          <w:b/>
          <w:bCs/>
          <w:i w:val="false"/>
          <w:iCs w:val="false"/>
          <w:sz w:val="22"/>
          <w:szCs w:val="22"/>
        </w:rPr>
        <w:t xml:space="preserve">About the Instincts</w:t>
      </w:r>
      <w:r>
        <w:rPr>
          <w:rFonts w:ascii="Arial" w:cs="Arial" w:eastAsia="Arial" w:hAnsi="Arial"/>
          <w:b w:val="false"/>
          <w:bCs w:val="false"/>
          <w:i w:val="false"/>
          <w:iCs w:val="false"/>
          <w:sz w:val="22"/>
          <w:szCs w:val="22"/>
        </w:rPr>
        <w:t xml:space="preserve"> — a brief primer on what instincts are</w:t>
      </w:r>
    </w:p>
    <w:p>
      <w:pPr>
        <w:pStyle w:val="ListParagraph"/>
        <w:numPr>
          <w:ilvl w:val="0"/>
          <w:numId w:val="2"/>
        </w:numPr>
        <w:spacing w:after="40" w:before="40"/>
      </w:pPr>
      <w:r>
        <w:rPr>
          <w:rFonts w:ascii="Arial" w:cs="Arial" w:eastAsia="Arial" w:hAnsi="Arial"/>
          <w:b/>
          <w:bCs/>
          <w:i w:val="false"/>
          <w:iCs w:val="false"/>
          <w:sz w:val="22"/>
          <w:szCs w:val="22"/>
        </w:rPr>
        <w:t xml:space="preserve">Your Instinct</w:t>
      </w:r>
      <w:r>
        <w:rPr>
          <w:rFonts w:ascii="Arial" w:cs="Arial" w:eastAsia="Arial" w:hAnsi="Arial"/>
          <w:b w:val="false"/>
          <w:bCs w:val="false"/>
          <w:i w:val="false"/>
          <w:iCs w:val="false"/>
          <w:sz w:val="22"/>
          <w:szCs w:val="22"/>
        </w:rPr>
        <w:t xml:space="preserve"> — the static description for the client's dominant instinct, plus an AI-generated paragraph showing how the instinct appears specifically in their responses</w:t>
      </w:r>
    </w:p>
    <w:p>
      <w:pPr>
        <w:pStyle w:val="ListParagraph"/>
        <w:numPr>
          <w:ilvl w:val="0"/>
          <w:numId w:val="2"/>
        </w:numPr>
        <w:spacing w:after="40" w:before="40"/>
      </w:pPr>
      <w:r>
        <w:rPr>
          <w:rFonts w:ascii="Arial" w:cs="Arial" w:eastAsia="Arial" w:hAnsi="Arial"/>
          <w:b/>
          <w:bCs/>
          <w:i w:val="false"/>
          <w:iCs w:val="false"/>
          <w:sz w:val="22"/>
          <w:szCs w:val="22"/>
        </w:rPr>
        <w:t xml:space="preserve">How Your Type Moves Through Stress and Ease</w:t>
      </w:r>
      <w:r>
        <w:rPr>
          <w:rFonts w:ascii="Arial" w:cs="Arial" w:eastAsia="Arial" w:hAnsi="Arial"/>
          <w:b w:val="false"/>
          <w:bCs w:val="false"/>
          <w:i w:val="false"/>
          <w:iCs w:val="false"/>
          <w:sz w:val="22"/>
          <w:szCs w:val="22"/>
        </w:rPr>
        <w:t xml:space="preserve"> — with a static primer on how stress and security points work</w:t>
      </w:r>
    </w:p>
    <w:p>
      <w:pPr>
        <w:pStyle w:val="ListParagraph"/>
        <w:numPr>
          <w:ilvl w:val="0"/>
          <w:numId w:val="2"/>
        </w:numPr>
        <w:spacing w:after="40" w:before="40"/>
      </w:pPr>
      <w:r>
        <w:rPr>
          <w:rFonts w:ascii="Arial" w:cs="Arial" w:eastAsia="Arial" w:hAnsi="Arial"/>
          <w:b/>
          <w:bCs/>
          <w:i w:val="false"/>
          <w:iCs w:val="false"/>
          <w:sz w:val="22"/>
          <w:szCs w:val="22"/>
        </w:rPr>
        <w:t xml:space="preserve">About Wings</w:t>
      </w:r>
      <w:r>
        <w:rPr>
          <w:rFonts w:ascii="Arial" w:cs="Arial" w:eastAsia="Arial" w:hAnsi="Arial"/>
          <w:b w:val="false"/>
          <w:bCs w:val="false"/>
          <w:i w:val="false"/>
          <w:iCs w:val="false"/>
          <w:sz w:val="22"/>
          <w:szCs w:val="22"/>
        </w:rPr>
        <w:t xml:space="preserve"> — a brief primer on what wings are</w:t>
      </w:r>
    </w:p>
    <w:p>
      <w:pPr>
        <w:pStyle w:val="ListParagraph"/>
        <w:numPr>
          <w:ilvl w:val="0"/>
          <w:numId w:val="2"/>
        </w:numPr>
        <w:spacing w:after="40" w:before="40"/>
      </w:pPr>
      <w:r>
        <w:rPr>
          <w:rFonts w:ascii="Arial" w:cs="Arial" w:eastAsia="Arial" w:hAnsi="Arial"/>
          <w:b/>
          <w:bCs/>
          <w:i w:val="false"/>
          <w:iCs w:val="false"/>
          <w:sz w:val="22"/>
          <w:szCs w:val="22"/>
        </w:rPr>
        <w:t xml:space="preserve">Wing Influence</w:t>
      </w:r>
      <w:r>
        <w:rPr>
          <w:rFonts w:ascii="Arial" w:cs="Arial" w:eastAsia="Arial" w:hAnsi="Arial"/>
          <w:b w:val="false"/>
          <w:bCs w:val="false"/>
          <w:i w:val="false"/>
          <w:iCs w:val="false"/>
          <w:sz w:val="22"/>
          <w:szCs w:val="22"/>
        </w:rPr>
        <w:t xml:space="preserve"> — descriptions of both wings (not "which is more active")</w:t>
      </w:r>
    </w:p>
    <w:p>
      <w:pPr>
        <w:pStyle w:val="ListParagraph"/>
        <w:numPr>
          <w:ilvl w:val="0"/>
          <w:numId w:val="2"/>
        </w:numPr>
        <w:spacing w:after="40" w:before="40"/>
      </w:pPr>
      <w:r>
        <w:rPr>
          <w:rFonts w:ascii="Arial" w:cs="Arial" w:eastAsia="Arial" w:hAnsi="Arial"/>
          <w:b/>
          <w:bCs/>
          <w:i w:val="false"/>
          <w:iCs w:val="false"/>
          <w:sz w:val="22"/>
          <w:szCs w:val="22"/>
        </w:rPr>
        <w:t xml:space="preserve">Secondary Type Hypothesis</w:t>
      </w:r>
      <w:r>
        <w:rPr>
          <w:rFonts w:ascii="Arial" w:cs="Arial" w:eastAsia="Arial" w:hAnsi="Arial"/>
          <w:b w:val="false"/>
          <w:bCs w:val="false"/>
          <w:i w:val="false"/>
          <w:iCs w:val="false"/>
          <w:sz w:val="22"/>
          <w:szCs w:val="22"/>
        </w:rPr>
        <w:t xml:space="preserve"> — appears only when the engine surfaced a meaningful alternative</w:t>
      </w:r>
    </w:p>
    <w:p>
      <w:pPr>
        <w:pStyle w:val="ListParagraph"/>
        <w:numPr>
          <w:ilvl w:val="0"/>
          <w:numId w:val="2"/>
        </w:numPr>
        <w:spacing w:after="40" w:before="40"/>
      </w:pPr>
      <w:r>
        <w:rPr>
          <w:rFonts w:ascii="Arial" w:cs="Arial" w:eastAsia="Arial" w:hAnsi="Arial"/>
          <w:b/>
          <w:bCs/>
          <w:i w:val="false"/>
          <w:iCs w:val="false"/>
          <w:sz w:val="22"/>
          <w:szCs w:val="22"/>
        </w:rPr>
        <w:t xml:space="preserve">What to Explore With Your Enneagram Coach or Practitioner</w:t>
      </w:r>
      <w:r>
        <w:rPr>
          <w:rFonts w:ascii="Arial" w:cs="Arial" w:eastAsia="Arial" w:hAnsi="Arial"/>
          <w:b w:val="false"/>
          <w:bCs w:val="false"/>
          <w:i w:val="false"/>
          <w:iCs w:val="false"/>
          <w:sz w:val="22"/>
          <w:szCs w:val="22"/>
        </w:rPr>
        <w:t xml:space="preserve"> — three structured questions, with an optional fourth question when type confusion is present</w:t>
      </w:r>
    </w:p>
    <w:p>
      <w:pPr>
        <w:spacing w:after="160" w:before="360"/>
      </w:pPr>
      <w:r>
        <w:rPr>
          <w:rFonts w:ascii="Arial" w:cs="Arial" w:eastAsia="Arial" w:hAnsi="Arial"/>
          <w:b/>
          <w:bCs/>
          <w:sz w:val="30"/>
          <w:szCs w:val="30"/>
        </w:rPr>
        <w:t xml:space="preserve">The duplicate opening sentence problem</w:t>
      </w:r>
    </w:p>
    <w:p>
      <w:pPr>
        <w:spacing w:after="80" w:before="80"/>
      </w:pPr>
      <w:r>
        <w:rPr>
          <w:rFonts w:ascii="Arial" w:cs="Arial" w:eastAsia="Arial" w:hAnsi="Arial"/>
          <w:b w:val="false"/>
          <w:bCs w:val="false"/>
          <w:i w:val="false"/>
          <w:iCs w:val="false"/>
          <w:sz w:val="22"/>
          <w:szCs w:val="22"/>
        </w:rPr>
        <w:t xml:space="preserve">In v2.1, both the "A Note on This Result" block and the AI-generated paragraph opened with "Based on your responses, the pattern that appears most consistent with your experience is Type X." Two sentences in a row said the same thing.</w:t>
      </w:r>
    </w:p>
    <w:p>
      <w:pPr>
        <w:spacing w:after="80" w:before="80"/>
      </w:pPr>
      <w:r>
        <w:rPr>
          <w:rFonts w:ascii="Arial" w:cs="Arial" w:eastAsia="Arial" w:hAnsi="Arial"/>
          <w:b w:val="false"/>
          <w:bCs w:val="false"/>
          <w:i w:val="false"/>
          <w:iCs w:val="false"/>
          <w:sz w:val="22"/>
          <w:szCs w:val="22"/>
        </w:rPr>
        <w:t xml:space="preserve">In v2.4, the framing language stays in the static block, and the AI-generated paragraph is instructed to open with something specific about the client — their language, the texture of their responses, or what's distinctive about how the type shows up for them.</w:t>
      </w:r>
    </w:p>
    <w:p>
      <w:pPr>
        <w:spacing w:after="160" w:before="360"/>
      </w:pPr>
      <w:r>
        <w:rPr>
          <w:rFonts w:ascii="Arial" w:cs="Arial" w:eastAsia="Arial" w:hAnsi="Arial"/>
          <w:b/>
          <w:bCs/>
          <w:sz w:val="30"/>
          <w:szCs w:val="30"/>
        </w:rPr>
        <w:t xml:space="preserve">Three new AI-generated client-specific paragraphs</w:t>
      </w:r>
    </w:p>
    <w:p>
      <w:pPr>
        <w:spacing w:after="80" w:before="80"/>
      </w:pPr>
      <w:r>
        <w:rPr>
          <w:rFonts w:ascii="Arial" w:cs="Arial" w:eastAsia="Arial" w:hAnsi="Arial"/>
          <w:b w:val="false"/>
          <w:bCs w:val="false"/>
          <w:i w:val="false"/>
          <w:iCs w:val="false"/>
          <w:sz w:val="22"/>
          <w:szCs w:val="22"/>
        </w:rPr>
        <w:t xml:space="preserve">The engine now produces three additional client-specific paragraphs beyond the main narrative:</w:t>
      </w:r>
    </w:p>
    <w:p>
      <w:pPr>
        <w:pStyle w:val="ListParagraph"/>
        <w:numPr>
          <w:ilvl w:val="0"/>
          <w:numId w:val="2"/>
        </w:numPr>
        <w:spacing w:after="40" w:before="40"/>
      </w:pPr>
      <w:r>
        <w:rPr>
          <w:rFonts w:ascii="Arial" w:cs="Arial" w:eastAsia="Arial" w:hAnsi="Arial"/>
          <w:b/>
          <w:bCs/>
          <w:i w:val="false"/>
          <w:iCs w:val="false"/>
          <w:sz w:val="22"/>
          <w:szCs w:val="22"/>
        </w:rPr>
        <w:t xml:space="preserve">Core Motivation Evidence</w:t>
      </w:r>
      <w:r>
        <w:rPr>
          <w:rFonts w:ascii="Arial" w:cs="Arial" w:eastAsia="Arial" w:hAnsi="Arial"/>
          <w:b w:val="false"/>
          <w:bCs w:val="false"/>
          <w:i w:val="false"/>
          <w:iCs w:val="false"/>
          <w:sz w:val="22"/>
          <w:szCs w:val="22"/>
        </w:rPr>
        <w:t xml:space="preserve"> — a paragraph that points to specific evidence in the client's responses supporting the type's core motivation. Used in plain language ("your tendency to step back rather than push forward") rather than technical terms ("your Withdrawn social stance").</w:t>
      </w:r>
    </w:p>
    <w:p>
      <w:pPr>
        <w:pStyle w:val="ListParagraph"/>
        <w:numPr>
          <w:ilvl w:val="0"/>
          <w:numId w:val="2"/>
        </w:numPr>
        <w:spacing w:after="40" w:before="40"/>
      </w:pPr>
      <w:r>
        <w:rPr>
          <w:rFonts w:ascii="Arial" w:cs="Arial" w:eastAsia="Arial" w:hAnsi="Arial"/>
          <w:b/>
          <w:bCs/>
          <w:i w:val="false"/>
          <w:iCs w:val="false"/>
          <w:sz w:val="22"/>
          <w:szCs w:val="22"/>
        </w:rPr>
        <w:t xml:space="preserve">Personal Instinct Overlay</w:t>
      </w:r>
      <w:r>
        <w:rPr>
          <w:rFonts w:ascii="Arial" w:cs="Arial" w:eastAsia="Arial" w:hAnsi="Arial"/>
          <w:b w:val="false"/>
          <w:bCs w:val="false"/>
          <w:i w:val="false"/>
          <w:iCs w:val="false"/>
          <w:sz w:val="22"/>
          <w:szCs w:val="22"/>
        </w:rPr>
        <w:t xml:space="preserve"> — a paragraph that describes how the client's dominant instinct appears specifically for them, drawing on their own words.</w:t>
      </w:r>
    </w:p>
    <w:p>
      <w:pPr>
        <w:pStyle w:val="ListParagraph"/>
        <w:numPr>
          <w:ilvl w:val="0"/>
          <w:numId w:val="2"/>
        </w:numPr>
        <w:spacing w:after="40" w:before="40"/>
      </w:pPr>
      <w:r>
        <w:rPr>
          <w:rFonts w:ascii="Arial" w:cs="Arial" w:eastAsia="Arial" w:hAnsi="Arial"/>
          <w:b/>
          <w:bCs/>
          <w:i w:val="false"/>
          <w:iCs w:val="false"/>
          <w:sz w:val="22"/>
          <w:szCs w:val="22"/>
        </w:rPr>
        <w:t xml:space="preserve">Secondary Type Hypothesis Narrative</w:t>
      </w:r>
      <w:r>
        <w:rPr>
          <w:rFonts w:ascii="Arial" w:cs="Arial" w:eastAsia="Arial" w:hAnsi="Arial"/>
          <w:b w:val="false"/>
          <w:bCs w:val="false"/>
          <w:i w:val="false"/>
          <w:iCs w:val="false"/>
          <w:sz w:val="22"/>
          <w:szCs w:val="22"/>
        </w:rPr>
        <w:t xml:space="preserve"> — a paragraph describing a meaningful second type, but only when one is genuinely present. Not every client gets one. When there isn't a meaningful second type, this section doesn't appear at all.</w:t>
      </w:r>
    </w:p>
    <w:p>
      <w:pPr>
        <w:spacing w:after="160" w:before="360"/>
      </w:pPr>
      <w:r>
        <w:rPr>
          <w:rFonts w:ascii="Arial" w:cs="Arial" w:eastAsia="Arial" w:hAnsi="Arial"/>
          <w:b/>
          <w:bCs/>
          <w:sz w:val="30"/>
          <w:szCs w:val="30"/>
        </w:rPr>
        <w:t xml:space="preserve">A rule against jargon in client-facing text</w:t>
      </w:r>
    </w:p>
    <w:p>
      <w:pPr>
        <w:spacing w:after="80" w:before="80"/>
      </w:pPr>
      <w:r>
        <w:rPr>
          <w:rFonts w:ascii="Arial" w:cs="Arial" w:eastAsia="Arial" w:hAnsi="Arial"/>
          <w:b w:val="false"/>
          <w:bCs w:val="false"/>
          <w:i w:val="false"/>
          <w:iCs w:val="false"/>
          <w:sz w:val="22"/>
          <w:szCs w:val="22"/>
        </w:rPr>
        <w:t xml:space="preserve">A new rule was added: AI-generated client-facing text never references stage numbers, framework axis names, or any internal assessment architecture. Clients are assumed to be new to the Enneagram. If evidence from a particular answer pattern is relevant, the engine describes what the client said or chose — not which stage or framework axis it came from.</w:t>
      </w:r>
    </w:p>
    <w:p>
      <w:pPr>
        <w:spacing w:after="80" w:before="80"/>
      </w:pPr>
      <w:r>
        <w:rPr>
          <w:rFonts w:ascii="Arial" w:cs="Arial" w:eastAsia="Arial" w:hAnsi="Arial"/>
          <w:b w:val="false"/>
          <w:bCs w:val="false"/>
          <w:i w:val="false"/>
          <w:iCs w:val="false"/>
          <w:sz w:val="22"/>
          <w:szCs w:val="22"/>
        </w:rPr>
        <w:t xml:space="preserve">So instead of "Stage 2 also showed a Withdrawn social stance and a Positive conflict response," the engine now writes "Your tendency to step back rather than push forward, and to find the silver lining when conflict arises, aligns closely with the Nine's motivation to preserve harmony."</w:t>
      </w:r>
    </w:p>
    <w:p>
      <w:pPr>
        <w:spacing w:after="160" w:before="360"/>
      </w:pPr>
      <w:r>
        <w:rPr>
          <w:rFonts w:ascii="Arial" w:cs="Arial" w:eastAsia="Arial" w:hAnsi="Arial"/>
          <w:b/>
          <w:bCs/>
          <w:sz w:val="30"/>
          <w:szCs w:val="30"/>
        </w:rPr>
        <w:t xml:space="preserve">A redesigned "What to Explore" section</w:t>
      </w:r>
    </w:p>
    <w:p>
      <w:pPr>
        <w:spacing w:after="80" w:before="80"/>
      </w:pPr>
      <w:r>
        <w:rPr>
          <w:rFonts w:ascii="Arial" w:cs="Arial" w:eastAsia="Arial" w:hAnsi="Arial"/>
          <w:b w:val="false"/>
          <w:bCs w:val="false"/>
          <w:i w:val="false"/>
          <w:iCs w:val="false"/>
          <w:sz w:val="22"/>
          <w:szCs w:val="22"/>
        </w:rPr>
        <w:t xml:space="preserve">The questions that close the client report were restructured. The engine now produces exactly three questions following a specific rubric:</w:t>
      </w:r>
    </w:p>
    <w:p>
      <w:pPr>
        <w:pStyle w:val="ListParagraph"/>
        <w:numPr>
          <w:ilvl w:val="0"/>
          <w:numId w:val="2"/>
        </w:numPr>
        <w:spacing w:after="40" w:before="40"/>
      </w:pPr>
      <w:r>
        <w:rPr>
          <w:rFonts w:ascii="Arial" w:cs="Arial" w:eastAsia="Arial" w:hAnsi="Arial"/>
          <w:b/>
          <w:bCs/>
          <w:i w:val="false"/>
          <w:iCs w:val="false"/>
          <w:sz w:val="22"/>
          <w:szCs w:val="22"/>
        </w:rPr>
        <w:t xml:space="preserve">Core motivation curiosity</w:t>
      </w:r>
      <w:r>
        <w:rPr>
          <w:rFonts w:ascii="Arial" w:cs="Arial" w:eastAsia="Arial" w:hAnsi="Arial"/>
          <w:b w:val="false"/>
          <w:bCs w:val="false"/>
          <w:i w:val="false"/>
          <w:iCs w:val="false"/>
          <w:sz w:val="22"/>
          <w:szCs w:val="22"/>
        </w:rPr>
        <w:t xml:space="preserve"> — restates the type's motivation in plain English and invites the client to notice where they feel it most in their life right now</w:t>
      </w:r>
    </w:p>
    <w:p>
      <w:pPr>
        <w:pStyle w:val="ListParagraph"/>
        <w:numPr>
          <w:ilvl w:val="0"/>
          <w:numId w:val="2"/>
        </w:numPr>
        <w:spacing w:after="40" w:before="40"/>
      </w:pPr>
      <w:r>
        <w:rPr>
          <w:rFonts w:ascii="Arial" w:cs="Arial" w:eastAsia="Arial" w:hAnsi="Arial"/>
          <w:b/>
          <w:bCs/>
          <w:i w:val="false"/>
          <w:iCs w:val="false"/>
          <w:sz w:val="22"/>
          <w:szCs w:val="22"/>
        </w:rPr>
        <w:t xml:space="preserve">Patterns in context</w:t>
      </w:r>
      <w:r>
        <w:rPr>
          <w:rFonts w:ascii="Arial" w:cs="Arial" w:eastAsia="Arial" w:hAnsi="Arial"/>
          <w:b w:val="false"/>
          <w:bCs w:val="false"/>
          <w:i w:val="false"/>
          <w:iCs w:val="false"/>
          <w:sz w:val="22"/>
          <w:szCs w:val="22"/>
        </w:rPr>
        <w:t xml:space="preserve"> — asks the client to think of a specific challenge or opportunity they're currently facing and notice how their patterns show up</w:t>
      </w:r>
    </w:p>
    <w:p>
      <w:pPr>
        <w:pStyle w:val="ListParagraph"/>
        <w:numPr>
          <w:ilvl w:val="0"/>
          <w:numId w:val="2"/>
        </w:numPr>
        <w:spacing w:after="40" w:before="40"/>
      </w:pPr>
      <w:r>
        <w:rPr>
          <w:rFonts w:ascii="Arial" w:cs="Arial" w:eastAsia="Arial" w:hAnsi="Arial"/>
          <w:b/>
          <w:bCs/>
          <w:i w:val="false"/>
          <w:iCs w:val="false"/>
          <w:sz w:val="22"/>
          <w:szCs w:val="22"/>
        </w:rPr>
        <w:t xml:space="preserve">Strengths and challenges choice</w:t>
      </w:r>
      <w:r>
        <w:rPr>
          <w:rFonts w:ascii="Arial" w:cs="Arial" w:eastAsia="Arial" w:hAnsi="Arial"/>
          <w:b w:val="false"/>
          <w:bCs w:val="false"/>
          <w:i w:val="false"/>
          <w:iCs w:val="false"/>
          <w:sz w:val="22"/>
          <w:szCs w:val="22"/>
        </w:rPr>
        <w:t xml:space="preserve"> — gives the client the type's key strengths and challenges and invites them to choose one to explore further</w:t>
      </w:r>
    </w:p>
    <w:p>
      <w:pPr>
        <w:spacing w:after="80" w:before="80"/>
      </w:pPr>
      <w:r>
        <w:rPr>
          <w:rFonts w:ascii="Arial" w:cs="Arial" w:eastAsia="Arial" w:hAnsi="Arial"/>
          <w:b w:val="false"/>
          <w:bCs w:val="false"/>
          <w:i w:val="false"/>
          <w:iCs w:val="false"/>
          <w:sz w:val="22"/>
          <w:szCs w:val="22"/>
        </w:rPr>
        <w:t xml:space="preserve">When type confusion was present in the assessment, a fourth question is added — an in-life observation invitation that helps the client notice what's actually driving them in challenging moments and compare it against the core motivations of both candidate types.</w:t>
      </w:r>
    </w:p>
    <w:p>
      <w:pPr>
        <w:spacing w:after="160" w:before="360"/>
      </w:pPr>
      <w:r>
        <w:rPr>
          <w:rFonts w:ascii="Arial" w:cs="Arial" w:eastAsia="Arial" w:hAnsi="Arial"/>
          <w:b/>
          <w:bCs/>
          <w:sz w:val="30"/>
          <w:szCs w:val="30"/>
        </w:rPr>
        <w:t xml:space="preserve">Type confusion as data, not failure</w:t>
      </w:r>
    </w:p>
    <w:p>
      <w:pPr>
        <w:spacing w:after="80" w:before="80"/>
      </w:pPr>
      <w:r>
        <w:rPr>
          <w:rFonts w:ascii="Arial" w:cs="Arial" w:eastAsia="Arial" w:hAnsi="Arial"/>
          <w:b w:val="false"/>
          <w:bCs w:val="false"/>
          <w:i w:val="false"/>
          <w:iCs w:val="false"/>
          <w:sz w:val="22"/>
          <w:szCs w:val="22"/>
        </w:rPr>
        <w:t xml:space="preserve">When the engine produces ambiguous results — when a client's data resonates with two types — this is now treated as useful information rather than as a system failure. The client report includes the in-life observation exercise described above, and the coach report includes a parallel block (Section 6A) that tells the coach what the client has been asked to observe and how to debrief what they bring.</w:t>
      </w:r>
    </w:p>
    <w:p>
      <w:pPr>
        <w:spacing w:after="80" w:before="80"/>
      </w:pPr>
      <w:r>
        <w:rPr>
          <w:rFonts w:ascii="Arial" w:cs="Arial" w:eastAsia="Arial" w:hAnsi="Arial"/>
          <w:b w:val="false"/>
          <w:bCs w:val="false"/>
          <w:i w:val="false"/>
          <w:iCs w:val="false"/>
          <w:sz w:val="22"/>
          <w:szCs w:val="22"/>
        </w:rPr>
        <w:t xml:space="preserve">The thinking here was Monique's: type confusion is often a signature of the type itself. A Nine's diffuse focus, a Five's distance from emotion, a Seven's reframing — these are exactly the patterns that produce ambiguous data. Surfacing this honestly and giving the client a way to engage with it is more useful than pretending the assessment can resolve everything.</w:t>
      </w:r>
    </w:p>
    <w:p>
      <w:pPr>
        <w:spacing w:after="160" w:before="360"/>
      </w:pPr>
      <w:r>
        <w:rPr>
          <w:rFonts w:ascii="Arial" w:cs="Arial" w:eastAsia="Arial" w:hAnsi="Arial"/>
          <w:b/>
          <w:bCs/>
          <w:sz w:val="30"/>
          <w:szCs w:val="30"/>
        </w:rPr>
        <w:t xml:space="preserve">Smaller things that also changed</w:t>
      </w:r>
    </w:p>
    <w:p>
      <w:pPr>
        <w:pStyle w:val="ListParagraph"/>
        <w:numPr>
          <w:ilvl w:val="0"/>
          <w:numId w:val="2"/>
        </w:numPr>
        <w:spacing w:after="40" w:before="40"/>
      </w:pPr>
      <w:r>
        <w:rPr>
          <w:rFonts w:ascii="Arial" w:cs="Arial" w:eastAsia="Arial" w:hAnsi="Arial"/>
          <w:sz w:val="22"/>
          <w:szCs w:val="22"/>
        </w:rPr>
        <w:t xml:space="preserve">The confidence badge (HIGH, MEDIUM-HIGH, etc.) was removed from the client-facing report. It's still on the coach-facing report. The thinking: that label is meaningful to a coach but can feel reductive to a client.</w:t>
      </w:r>
    </w:p>
    <w:p>
      <w:pPr>
        <w:pStyle w:val="ListParagraph"/>
        <w:numPr>
          <w:ilvl w:val="0"/>
          <w:numId w:val="2"/>
        </w:numPr>
        <w:spacing w:after="40" w:before="40"/>
      </w:pPr>
      <w:r>
        <w:rPr>
          <w:rFonts w:ascii="Arial" w:cs="Arial" w:eastAsia="Arial" w:hAnsi="Arial"/>
          <w:sz w:val="22"/>
          <w:szCs w:val="22"/>
        </w:rPr>
        <w:t xml:space="preserve">The footer was updated. The line "For use with Cai" was removed (the report is generic to whichever coach is using it), and a copyright line was added.</w:t>
      </w:r>
    </w:p>
    <w:p>
      <w:pPr>
        <w:pStyle w:val="ListParagraph"/>
        <w:numPr>
          <w:ilvl w:val="0"/>
          <w:numId w:val="2"/>
        </w:numPr>
        <w:spacing w:after="40" w:before="40"/>
      </w:pPr>
      <w:r>
        <w:rPr>
          <w:rFonts w:ascii="Arial" w:cs="Arial" w:eastAsia="Arial" w:hAnsi="Arial"/>
          <w:sz w:val="22"/>
          <w:szCs w:val="22"/>
        </w:rPr>
        <w:t xml:space="preserve">All references to "Cai" or "Monique" by name in client-facing AI-generated content were generalized to "your Enneagram coach or practitioner." (The static template language still mentions both names by way of example, but the engine's output no longer does.)</w:t>
      </w:r>
    </w:p>
    <w:p>
      <w:pPr>
        <w:pStyle w:val="ListParagraph"/>
        <w:numPr>
          <w:ilvl w:val="0"/>
          <w:numId w:val="2"/>
        </w:numPr>
        <w:spacing w:after="40" w:before="40"/>
      </w:pPr>
      <w:r>
        <w:rPr>
          <w:rFonts w:ascii="Arial" w:cs="Arial" w:eastAsia="Arial" w:hAnsi="Arial"/>
          <w:sz w:val="22"/>
          <w:szCs w:val="22"/>
        </w:rPr>
        <w:t xml:space="preserve">The "Sexual" instinct label was renamed "One-to-One" in client-facing content (more comfortable language for clients new to the system).</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How the engine produces all of this</w:t>
      </w:r>
    </w:p>
    <w:p>
      <w:pPr>
        <w:spacing w:after="80" w:before="80"/>
      </w:pPr>
      <w:r>
        <w:rPr>
          <w:rFonts w:ascii="Arial" w:cs="Arial" w:eastAsia="Arial" w:hAnsi="Arial"/>
          <w:b w:val="false"/>
          <w:bCs w:val="false"/>
          <w:i w:val="false"/>
          <w:iCs w:val="false"/>
          <w:sz w:val="22"/>
          <w:szCs w:val="22"/>
        </w:rPr>
        <w:t xml:space="preserve">Three sources of content combine to produce the final client report:</w:t>
      </w:r>
    </w:p>
    <w:p>
      <w:pPr>
        <w:pStyle w:val="ListParagraph"/>
        <w:numPr>
          <w:ilvl w:val="0"/>
          <w:numId w:val="2"/>
        </w:numPr>
        <w:spacing w:after="40" w:before="40"/>
      </w:pPr>
      <w:r>
        <w:rPr>
          <w:rFonts w:ascii="Arial" w:cs="Arial" w:eastAsia="Arial" w:hAnsi="Arial"/>
          <w:b/>
          <w:bCs/>
          <w:i w:val="false"/>
          <w:iCs w:val="false"/>
          <w:sz w:val="22"/>
          <w:szCs w:val="22"/>
        </w:rPr>
        <w:t xml:space="preserve">The Hive Type Library</w:t>
      </w:r>
      <w:r>
        <w:rPr>
          <w:rFonts w:ascii="Arial" w:cs="Arial" w:eastAsia="Arial" w:hAnsi="Arial"/>
          <w:b w:val="false"/>
          <w:bCs w:val="false"/>
          <w:i w:val="false"/>
          <w:iCs w:val="false"/>
          <w:sz w:val="22"/>
          <w:szCs w:val="22"/>
        </w:rPr>
        <w:t xml:space="preserve"> — a separate static file that holds all the type-general content (How You See the World, Core Motivation descriptions, Patterns, Strengths, Challenges, Development Tips, Wing descriptions, Stress/Security descriptions, primers about the Enneagram and instincts and wings). This content is the same for every client of a given type. It was written by Cai and is loaded by the rendering app at report-generation time.</w:t>
      </w:r>
    </w:p>
    <w:p>
      <w:pPr>
        <w:pStyle w:val="ListParagraph"/>
        <w:numPr>
          <w:ilvl w:val="0"/>
          <w:numId w:val="2"/>
        </w:numPr>
        <w:spacing w:after="40" w:before="40"/>
      </w:pPr>
      <w:r>
        <w:rPr>
          <w:rFonts w:ascii="Arial" w:cs="Arial" w:eastAsia="Arial" w:hAnsi="Arial"/>
          <w:b/>
          <w:bCs/>
          <w:i w:val="false"/>
          <w:iCs w:val="false"/>
          <w:sz w:val="22"/>
          <w:szCs w:val="22"/>
        </w:rPr>
        <w:t xml:space="preserve">The AI engine</w:t>
      </w:r>
      <w:r>
        <w:rPr>
          <w:rFonts w:ascii="Arial" w:cs="Arial" w:eastAsia="Arial" w:hAnsi="Arial"/>
          <w:b w:val="false"/>
          <w:bCs w:val="false"/>
          <w:i w:val="false"/>
          <w:iCs w:val="false"/>
          <w:sz w:val="22"/>
          <w:szCs w:val="22"/>
        </w:rPr>
        <w:t xml:space="preserve"> — produces the client-specific paragraphs (the narrative, the evidence, the instinct overlay, the secondary hypothesis if present) and the "What to Explore" questions. These vary client-by-client based on their actual responses.</w:t>
      </w:r>
    </w:p>
    <w:p>
      <w:pPr>
        <w:pStyle w:val="ListParagraph"/>
        <w:numPr>
          <w:ilvl w:val="0"/>
          <w:numId w:val="2"/>
        </w:numPr>
        <w:spacing w:after="40" w:before="40"/>
      </w:pPr>
      <w:r>
        <w:rPr>
          <w:rFonts w:ascii="Arial" w:cs="Arial" w:eastAsia="Arial" w:hAnsi="Arial"/>
          <w:b/>
          <w:bCs/>
          <w:i w:val="false"/>
          <w:iCs w:val="false"/>
          <w:sz w:val="22"/>
          <w:szCs w:val="22"/>
        </w:rPr>
        <w:t xml:space="preserve">The HTML template</w:t>
      </w:r>
      <w:r>
        <w:rPr>
          <w:rFonts w:ascii="Arial" w:cs="Arial" w:eastAsia="Arial" w:hAnsi="Arial"/>
          <w:b w:val="false"/>
          <w:bCs w:val="false"/>
          <w:i w:val="false"/>
          <w:iCs w:val="false"/>
          <w:sz w:val="22"/>
          <w:szCs w:val="22"/>
        </w:rPr>
        <w:t xml:space="preserve"> — the rendering layer that combines static type content, AI-generated content, and template framing (section headers, layout, footer) into the final report the client sees.</w:t>
      </w:r>
    </w:p>
    <w:p>
      <w:pPr>
        <w:spacing w:after="80" w:before="80"/>
      </w:pPr>
      <w:r>
        <w:rPr>
          <w:rFonts w:ascii="Arial" w:cs="Arial" w:eastAsia="Arial" w:hAnsi="Arial"/>
          <w:b w:val="false"/>
          <w:bCs w:val="false"/>
          <w:i w:val="false"/>
          <w:iCs w:val="false"/>
          <w:sz w:val="22"/>
          <w:szCs w:val="22"/>
        </w:rPr>
        <w:t xml:space="preserve">For the engineering team that builds the app, all three layers must be updated together. Updating one without the others produces an inconsistent report.</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What didn't change</w:t>
      </w:r>
    </w:p>
    <w:p>
      <w:pPr>
        <w:spacing w:after="80" w:before="80"/>
      </w:pPr>
      <w:r>
        <w:rPr>
          <w:rFonts w:ascii="Arial" w:cs="Arial" w:eastAsia="Arial" w:hAnsi="Arial"/>
          <w:b w:val="false"/>
          <w:bCs w:val="false"/>
          <w:i w:val="false"/>
          <w:iCs w:val="false"/>
          <w:sz w:val="22"/>
          <w:szCs w:val="22"/>
        </w:rPr>
        <w:t xml:space="preserve">Some things from v2.1 are still exactly the same:</w:t>
      </w:r>
    </w:p>
    <w:p>
      <w:pPr>
        <w:pStyle w:val="ListParagraph"/>
        <w:numPr>
          <w:ilvl w:val="0"/>
          <w:numId w:val="2"/>
        </w:numPr>
        <w:spacing w:after="40" w:before="40"/>
      </w:pPr>
      <w:r>
        <w:rPr>
          <w:rFonts w:ascii="Arial" w:cs="Arial" w:eastAsia="Arial" w:hAnsi="Arial"/>
          <w:sz w:val="22"/>
          <w:szCs w:val="22"/>
        </w:rPr>
        <w:t xml:space="preserve">The system prompt's tone (warm, curious, non-pathologizing, Narrative Enneagram tradition)</w:t>
      </w:r>
    </w:p>
    <w:p>
      <w:pPr>
        <w:pStyle w:val="ListParagraph"/>
        <w:numPr>
          <w:ilvl w:val="0"/>
          <w:numId w:val="2"/>
        </w:numPr>
        <w:spacing w:after="40" w:before="40"/>
      </w:pPr>
      <w:r>
        <w:rPr>
          <w:rFonts w:ascii="Arial" w:cs="Arial" w:eastAsia="Arial" w:hAnsi="Arial"/>
          <w:sz w:val="22"/>
          <w:szCs w:val="22"/>
        </w:rPr>
        <w:t xml:space="preserve">The four open-text questions in Stage 0</w:t>
      </w:r>
    </w:p>
    <w:p>
      <w:pPr>
        <w:pStyle w:val="ListParagraph"/>
        <w:numPr>
          <w:ilvl w:val="0"/>
          <w:numId w:val="2"/>
        </w:numPr>
        <w:spacing w:after="40" w:before="40"/>
      </w:pPr>
      <w:r>
        <w:rPr>
          <w:rFonts w:ascii="Arial" w:cs="Arial" w:eastAsia="Arial" w:hAnsi="Arial"/>
          <w:sz w:val="22"/>
          <w:szCs w:val="22"/>
        </w:rPr>
        <w:t xml:space="preserve">The Stage 1, 2, 3, and 4 question structure</w:t>
      </w:r>
    </w:p>
    <w:p>
      <w:pPr>
        <w:pStyle w:val="ListParagraph"/>
        <w:numPr>
          <w:ilvl w:val="0"/>
          <w:numId w:val="2"/>
        </w:numPr>
        <w:spacing w:after="40" w:before="40"/>
      </w:pPr>
      <w:r>
        <w:rPr>
          <w:rFonts w:ascii="Arial" w:cs="Arial" w:eastAsia="Arial" w:hAnsi="Arial"/>
          <w:sz w:val="22"/>
          <w:szCs w:val="22"/>
        </w:rPr>
        <w:t xml:space="preserve">The validation tasks (the engine still cross-checks Stage 0 language against the type's idealization and shadow patterns, still scans for counter-types, still routes through pairwise discrimination)</w:t>
      </w:r>
    </w:p>
    <w:p>
      <w:pPr>
        <w:pStyle w:val="ListParagraph"/>
        <w:numPr>
          <w:ilvl w:val="0"/>
          <w:numId w:val="2"/>
        </w:numPr>
        <w:spacing w:after="40" w:before="40"/>
      </w:pPr>
      <w:r>
        <w:rPr>
          <w:rFonts w:ascii="Arial" w:cs="Arial" w:eastAsia="Arial" w:hAnsi="Arial"/>
          <w:sz w:val="22"/>
          <w:szCs w:val="22"/>
        </w:rPr>
        <w:t xml:space="preserve">The holistic coherence check task</w:t>
      </w:r>
    </w:p>
    <w:p>
      <w:pPr>
        <w:pStyle w:val="ListParagraph"/>
        <w:numPr>
          <w:ilvl w:val="0"/>
          <w:numId w:val="2"/>
        </w:numPr>
        <w:spacing w:after="40" w:before="40"/>
      </w:pPr>
      <w:r>
        <w:rPr>
          <w:rFonts w:ascii="Arial" w:cs="Arial" w:eastAsia="Arial" w:hAnsi="Arial"/>
          <w:sz w:val="22"/>
          <w:szCs w:val="22"/>
        </w:rPr>
        <w:t xml:space="preserve">The way confidence levels are calculated</w:t>
      </w:r>
    </w:p>
    <w:p>
      <w:pPr>
        <w:spacing w:after="80" w:before="80"/>
      </w:pPr>
      <w:r>
        <w:rPr>
          <w:rFonts w:ascii="Arial" w:cs="Arial" w:eastAsia="Arial" w:hAnsi="Arial"/>
          <w:b w:val="false"/>
          <w:bCs w:val="false"/>
          <w:i w:val="false"/>
          <w:iCs w:val="false"/>
          <w:sz w:val="22"/>
          <w:szCs w:val="22"/>
        </w:rPr>
        <w:t xml:space="preserve">The architecture of how the engine thinks hasn't changed. What's changed is what the engine produces — both for the client and for the coach.</w:t>
      </w:r>
    </w:p>
    <w:p>
      <w:pPr>
        <w:pBdr>
          <w:bottom w:val="single" w:color="CCCCCC" w:sz="6" w:space="1"/>
        </w:pBdr>
        <w:spacing w:after="200" w:before="200"/>
      </w:pPr>
      <w:r>
        <w:t xml:space="preserve"/>
      </w:r>
    </w:p>
    <w:p>
      <w:pPr>
        <w:spacing w:after="200" w:before="400"/>
      </w:pPr>
      <w:r>
        <w:rPr>
          <w:rFonts w:ascii="Arial" w:cs="Arial" w:eastAsia="Arial" w:hAnsi="Arial"/>
          <w:b/>
          <w:bCs/>
          <w:sz w:val="40"/>
          <w:szCs w:val="40"/>
        </w:rPr>
        <w:t xml:space="preserve">Where things go from here</w:t>
      </w:r>
    </w:p>
    <w:p>
      <w:pPr>
        <w:spacing w:after="80" w:before="80"/>
      </w:pPr>
      <w:r>
        <w:rPr>
          <w:rFonts w:ascii="Arial" w:cs="Arial" w:eastAsia="Arial" w:hAnsi="Arial"/>
          <w:b w:val="false"/>
          <w:bCs w:val="false"/>
          <w:i w:val="false"/>
          <w:iCs w:val="false"/>
          <w:sz w:val="22"/>
          <w:szCs w:val="22"/>
        </w:rPr>
        <w:t xml:space="preserve">A few things are worth flagging for the road ahead:</w:t>
      </w:r>
    </w:p>
    <w:p>
      <w:pPr>
        <w:spacing w:after="80" w:before="80"/>
      </w:pPr>
      <w:r>
        <w:rPr>
          <w:rFonts w:ascii="Arial" w:cs="Arial" w:eastAsia="Arial" w:hAnsi="Arial"/>
          <w:b/>
          <w:bCs/>
          <w:i w:val="false"/>
          <w:iCs w:val="false"/>
          <w:sz w:val="22"/>
          <w:szCs w:val="22"/>
        </w:rPr>
        <w:t xml:space="preserve">Coordinating the rollout. </w:t>
      </w:r>
      <w:r>
        <w:rPr>
          <w:rFonts w:ascii="Arial" w:cs="Arial" w:eastAsia="Arial" w:hAnsi="Arial"/>
          <w:b w:val="false"/>
          <w:bCs w:val="false"/>
          <w:i w:val="false"/>
          <w:iCs w:val="false"/>
          <w:sz w:val="22"/>
          <w:szCs w:val="22"/>
        </w:rPr>
        <w:t xml:space="preserve">Because the spec changes touch the AI engine, the type library, and the HTML template all at once, the engineering team will need to deploy all three changes together. The current spec includes an integration note about the three-layer architecture so that nothing falls through the cracks during deployment.</w:t>
      </w:r>
    </w:p>
    <w:p>
      <w:pPr>
        <w:spacing w:after="80" w:before="80"/>
      </w:pPr>
      <w:r>
        <w:rPr>
          <w:rFonts w:ascii="Arial" w:cs="Arial" w:eastAsia="Arial" w:hAnsi="Arial"/>
          <w:b/>
          <w:bCs/>
          <w:i w:val="false"/>
          <w:iCs w:val="false"/>
          <w:sz w:val="22"/>
          <w:szCs w:val="22"/>
        </w:rPr>
        <w:t xml:space="preserve">The static content is now a separate artifact. </w:t>
      </w:r>
      <w:r>
        <w:rPr>
          <w:rFonts w:ascii="Arial" w:cs="Arial" w:eastAsia="Arial" w:hAnsi="Arial"/>
          <w:b w:val="false"/>
          <w:bCs w:val="false"/>
          <w:i w:val="false"/>
          <w:iCs w:val="false"/>
          <w:sz w:val="22"/>
          <w:szCs w:val="22"/>
        </w:rPr>
        <w:t xml:space="preserve">The Hive Type Library (the JSON file with all the type-general content) lives outside the spec. If Cai or Monique want to update a development tip or a wing description, that's an edit to the type library, not to the AI prompt. This is a cleaner separation than v2.1 had — the AI prompt is now smaller and more focused on the things only the AI can do.</w:t>
      </w:r>
    </w:p>
    <w:p>
      <w:pPr>
        <w:spacing w:after="80" w:before="80"/>
      </w:pPr>
      <w:r>
        <w:rPr>
          <w:rFonts w:ascii="Arial" w:cs="Arial" w:eastAsia="Arial" w:hAnsi="Arial"/>
          <w:b/>
          <w:bCs/>
          <w:i w:val="false"/>
          <w:iCs w:val="false"/>
          <w:sz w:val="22"/>
          <w:szCs w:val="22"/>
        </w:rPr>
        <w:t xml:space="preserve">Two iterations of testing would be valuable. </w:t>
      </w:r>
      <w:r>
        <w:rPr>
          <w:rFonts w:ascii="Arial" w:cs="Arial" w:eastAsia="Arial" w:hAnsi="Arial"/>
          <w:b w:val="false"/>
          <w:bCs w:val="false"/>
          <w:i w:val="false"/>
          <w:iCs w:val="false"/>
          <w:sz w:val="22"/>
          <w:szCs w:val="22"/>
        </w:rPr>
        <w:t xml:space="preserve">The shape of the new reports is solid, but the actual generated language won't be visible until real client data flows through the new spec. Before going to production, it would be worth testing a few real cases (or some thoughtful fixtures) to see whether the AI's output matches the intent of the new instructions.</w:t>
      </w:r>
    </w:p>
    <w:p>
      <w:pPr>
        <w:spacing w:after="80" w:before="80"/>
      </w:pPr>
      <w:r>
        <w:rPr>
          <w:rFonts w:ascii="Arial" w:cs="Arial" w:eastAsia="Arial" w:hAnsi="Arial"/>
          <w:b/>
          <w:bCs/>
          <w:i w:val="false"/>
          <w:iCs w:val="false"/>
          <w:sz w:val="22"/>
          <w:szCs w:val="22"/>
        </w:rPr>
        <w:t xml:space="preserve">The 27-subtype reference is the main place where Cai and Monique's voice was directly captured. </w:t>
      </w:r>
      <w:r>
        <w:rPr>
          <w:rFonts w:ascii="Arial" w:cs="Arial" w:eastAsia="Arial" w:hAnsi="Arial"/>
          <w:b w:val="false"/>
          <w:bCs w:val="false"/>
          <w:i w:val="false"/>
          <w:iCs w:val="false"/>
          <w:sz w:val="22"/>
          <w:szCs w:val="22"/>
        </w:rPr>
        <w:t xml:space="preserve">That reference informs Section 4 of the coach report and was drawn from the Narrative Enneagram Essential Guides. If anything reads off in real-world cases, that reference is a good place to start adjusting.</w:t>
      </w:r>
    </w:p>
    <w:p>
      <w:pPr>
        <w:pBdr>
          <w:bottom w:val="single" w:color="CCCCCC" w:sz="6" w:space="1"/>
        </w:pBdr>
        <w:spacing w:after="200" w:before="200"/>
      </w:pPr>
      <w:r>
        <w:t xml:space="preserve"/>
      </w:r>
    </w:p>
    <w:p>
      <w:pPr>
        <w:spacing w:after="0" w:before="240"/>
        <w:jc w:val="center"/>
      </w:pPr>
      <w:r>
        <w:rPr>
          <w:rFonts w:ascii="Arial" w:cs="Arial" w:eastAsia="Arial" w:hAnsi="Arial"/>
          <w:i/>
          <w:iCs/>
          <w:color w:val="7A96A6"/>
          <w:sz w:val="18"/>
          <w:szCs w:val="18"/>
        </w:rPr>
        <w:t xml:space="preserve">Prepared April 2026. Cai and Monique can request changes to any of this; nothing here is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2026-04-25T16:56:26.184Z</dcterms:created>
  <dcterms:modified xsi:type="dcterms:W3CDTF">2026-04-25T16:56:26.185Z</dcterms:modified>
</cp:coreProperties>
</file>

<file path=docProps/custom.xml><?xml version="1.0" encoding="utf-8"?>
<Properties xmlns="http://schemas.openxmlformats.org/officeDocument/2006/custom-properties" xmlns:vt="http://schemas.openxmlformats.org/officeDocument/2006/docPropsVTypes"/>
</file>