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06B7D"/>
          <w:sz w:val="40"/>
          <w:szCs w:val="40"/>
        </w:rPr>
        <w:t xml:space="preserve">InsightOut — Stage 1 Instinct Stem Revisions</w:t>
      </w:r>
    </w:p>
    <w:p>
      <w:pPr>
        <w:spacing w:after="60" w:before="0"/>
      </w:pPr>
      <w:r>
        <w:rPr>
          <w:rFonts w:ascii="Arial" w:cs="Arial" w:eastAsia="Arial" w:hAnsi="Arial"/>
          <w:color w:val="555555"/>
          <w:sz w:val="22"/>
          <w:szCs w:val="22"/>
        </w:rPr>
        <w:t xml:space="preserve">Before &amp; After · Self-Preservation (SP) Instinct</w:t>
      </w:r>
    </w:p>
    <w:p>
      <w:pPr>
        <w:spacing w:after="200" w:before="0"/>
      </w:pPr>
      <w:r>
        <w:rPr>
          <w:rFonts w:ascii="Arial" w:cs="Arial" w:eastAsia="Arial" w:hAnsi="Arial"/>
          <w:i/>
          <w:iCs/>
          <w:color w:val="888888"/>
          <w:sz w:val="18"/>
          <w:szCs w:val="18"/>
        </w:rPr>
        <w:t xml:space="preserve">June 2026 · CONFIDENTIAL · Hive, Inc.</w:t>
      </w:r>
    </w:p>
    <w:p>
      <w:pPr>
        <w:spacing w:after="80" w:before="0"/>
      </w:pPr>
      <w:r>
        <w:rPr>
          <w:rFonts w:ascii="Arial" w:cs="Arial" w:eastAsia="Arial" w:hAnsi="Arial"/>
          <w:b/>
          <w:bCs/>
          <w:color w:val="333333"/>
          <w:sz w:val="20"/>
          <w:szCs w:val="20"/>
        </w:rPr>
        <w:t xml:space="preserve">Legend</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tblGrid>
      <w:tr>
        <w:tc>
          <w:tcPr>
            <w:tcW w:type="dxa" w:w="500"/>
            <w:tcBorders>
              <w:top w:val="none" w:color="FFFFFF" w:sz="0"/>
              <w:left w:val="none" w:color="FFFFFF" w:sz="0"/>
              <w:bottom w:val="none" w:color="FFFFFF" w:sz="0"/>
              <w:right w:val="none" w:color="FFFFFF" w:sz="0"/>
            </w:tcBorders>
            <w:shd w:fill="FFF3E0" w:val="clear"/>
            <w:tcMar>
              <w:top w:type="dxa" w:w="100"/>
              <w:left w:type="dxa" w:w="120"/>
              <w:bottom w:type="dxa" w:w="100"/>
              <w:right w:type="dxa" w:w="120"/>
            </w:tcMar>
          </w:tcPr>
          <w:p/>
        </w:tc>
        <w:tc>
          <w:tcPr>
            <w:tcW w:type="dxa" w:w="4000"/>
            <w:tcBorders>
              <w:top w:val="none" w:color="FFFFFF" w:sz="0"/>
              <w:left w:val="none" w:color="FFFFFF" w:sz="0"/>
              <w:bottom w:val="none" w:color="FFFFFF" w:sz="0"/>
              <w:right w:val="none" w:color="FFFFFF" w:sz="0"/>
            </w:tcBorders>
            <w:tcMar>
              <w:top w:type="dxa" w:w="100"/>
              <w:left w:type="dxa" w:w="120"/>
              <w:bottom w:type="dxa" w:w="100"/>
              <w:right w:type="dxa" w:w="120"/>
            </w:tcMar>
          </w:tcPr>
          <w:p>
            <w:r>
              <w:rPr>
                <w:rFonts w:ascii="Arial" w:cs="Arial" w:eastAsia="Arial" w:hAnsi="Arial"/>
                <w:color w:val="444444"/>
                <w:sz w:val="18"/>
                <w:szCs w:val="18"/>
              </w:rPr>
              <w:t xml:space="preserve">Before — original statement</w:t>
            </w:r>
          </w:p>
        </w:tc>
      </w:tr>
      <w:tr>
        <w:tc>
          <w:tcPr>
            <w:tcW w:type="dxa" w:w="500"/>
            <w:tcBorders>
              <w:top w:val="none" w:color="FFFFFF" w:sz="0"/>
              <w:left w:val="none" w:color="FFFFFF" w:sz="0"/>
              <w:bottom w:val="none" w:color="FFFFFF" w:sz="0"/>
              <w:right w:val="none" w:color="FFFFFF" w:sz="0"/>
            </w:tcBorders>
            <w:shd w:fill="E8F5E9" w:val="clear"/>
            <w:tcMar>
              <w:top w:type="dxa" w:w="100"/>
              <w:left w:type="dxa" w:w="120"/>
              <w:bottom w:type="dxa" w:w="100"/>
              <w:right w:type="dxa" w:w="120"/>
            </w:tcMar>
          </w:tcPr>
          <w:p/>
        </w:tc>
        <w:tc>
          <w:tcPr>
            <w:tcW w:type="dxa" w:w="4000"/>
            <w:tcBorders>
              <w:top w:val="none" w:color="FFFFFF" w:sz="0"/>
              <w:left w:val="none" w:color="FFFFFF" w:sz="0"/>
              <w:bottom w:val="none" w:color="FFFFFF" w:sz="0"/>
              <w:right w:val="none" w:color="FFFFFF" w:sz="0"/>
            </w:tcBorders>
            <w:tcMar>
              <w:top w:type="dxa" w:w="100"/>
              <w:left w:type="dxa" w:w="120"/>
              <w:bottom w:type="dxa" w:w="100"/>
              <w:right w:type="dxa" w:w="120"/>
            </w:tcMar>
          </w:tcPr>
          <w:p>
            <w:r>
              <w:rPr>
                <w:rFonts w:ascii="Arial" w:cs="Arial" w:eastAsia="Arial" w:hAnsi="Arial"/>
                <w:color w:val="444444"/>
                <w:sz w:val="18"/>
                <w:szCs w:val="18"/>
              </w:rPr>
              <w:t xml:space="preserve">After — revised statement</w:t>
            </w:r>
          </w:p>
        </w:tc>
      </w:tr>
      <w:tr>
        <w:tc>
          <w:tcPr>
            <w:tcW w:type="dxa" w:w="500"/>
            <w:tcBorders>
              <w:top w:val="none" w:color="FFFFFF" w:sz="0"/>
              <w:left w:val="none" w:color="FFFFFF" w:sz="0"/>
              <w:bottom w:val="none" w:color="FFFFFF" w:sz="0"/>
              <w:right w:val="none" w:color="FFFFFF" w:sz="0"/>
            </w:tcBorders>
            <w:shd w:fill="F5F5F5" w:val="clear"/>
            <w:tcMar>
              <w:top w:type="dxa" w:w="100"/>
              <w:left w:type="dxa" w:w="120"/>
              <w:bottom w:type="dxa" w:w="100"/>
              <w:right w:type="dxa" w:w="120"/>
            </w:tcMar>
          </w:tcPr>
          <w:p/>
        </w:tc>
        <w:tc>
          <w:tcPr>
            <w:tcW w:type="dxa" w:w="4000"/>
            <w:tcBorders>
              <w:top w:val="none" w:color="FFFFFF" w:sz="0"/>
              <w:left w:val="none" w:color="FFFFFF" w:sz="0"/>
              <w:bottom w:val="none" w:color="FFFFFF" w:sz="0"/>
              <w:right w:val="none" w:color="FFFFFF" w:sz="0"/>
            </w:tcBorders>
            <w:tcMar>
              <w:top w:type="dxa" w:w="100"/>
              <w:left w:type="dxa" w:w="120"/>
              <w:bottom w:type="dxa" w:w="100"/>
              <w:right w:type="dxa" w:w="120"/>
            </w:tcMar>
          </w:tcPr>
          <w:p>
            <w:r>
              <w:rPr>
                <w:rFonts w:ascii="Arial" w:cs="Arial" w:eastAsia="Arial" w:hAnsi="Arial"/>
                <w:color w:val="444444"/>
                <w:sz w:val="18"/>
                <w:szCs w:val="18"/>
              </w:rPr>
              <w:t xml:space="preserve">Unchanged — no revision</w:t>
            </w:r>
          </w:p>
        </w:tc>
      </w:tr>
    </w:tbl>
    <w:p>
      <w:pPr>
        <w:spacing w:after="80" w:before="120"/>
      </w:pPr>
    </w:p>
    <w:p>
      <w:pPr>
        <w:spacing w:after="60" w:before="0"/>
      </w:pPr>
      <w:r>
        <w:rPr>
          <w:rFonts w:ascii="Arial" w:cs="Arial" w:eastAsia="Arial" w:hAnsi="Arial"/>
          <w:b/>
          <w:bCs/>
          <w:color w:val="333333"/>
          <w:sz w:val="20"/>
          <w:szCs w:val="20"/>
        </w:rPr>
        <w:t xml:space="preserve">Status</w:t>
      </w:r>
    </w:p>
    <w:p>
      <w:pPr>
        <w:spacing w:after="40" w:before="20"/>
      </w:pPr>
      <w:r>
        <w:rPr>
          <w:rFonts w:ascii="Arial" w:cs="Arial" w:eastAsia="Arial" w:hAnsi="Arial"/>
          <w:b/>
          <w:bCs/>
          <w:color w:val="E65100"/>
          <w:sz w:val="18"/>
          <w:szCs w:val="18"/>
        </w:rPr>
        <w:t xml:space="preserve">APPROVED · PENDING MO REVIEW + CC BUILD  </w:t>
      </w:r>
      <w:r>
        <w:rPr>
          <w:rFonts w:ascii="Arial" w:cs="Arial" w:eastAsia="Arial" w:hAnsi="Arial"/>
          <w:color w:val="444444"/>
          <w:sz w:val="18"/>
          <w:szCs w:val="18"/>
        </w:rPr>
        <w:t xml:space="preserve">— Four statements revised (I1-SP-1, I1-SP-2, I1-SP-3, I1-SP-5); I1-SP-4 unchanged.</w:t>
      </w:r>
    </w:p>
    <w:p>
      <w:pPr>
        <w:spacing w:after="60" w:before="120"/>
      </w:pPr>
    </w:p>
    <w:p>
      <w:pPr>
        <w:spacing w:after="80" w:before="0"/>
      </w:pPr>
      <w:r>
        <w:rPr>
          <w:rFonts w:ascii="Arial" w:cs="Arial" w:eastAsia="Arial" w:hAnsi="Arial"/>
          <w:b/>
          <w:bCs/>
          <w:color w:val="333333"/>
          <w:sz w:val="20"/>
          <w:szCs w:val="20"/>
        </w:rPr>
        <w:t xml:space="preserve">Review approach</w:t>
      </w:r>
    </w:p>
    <w:p>
      <w:pPr>
        <w:spacing w:after="120" w:before="0"/>
      </w:pPr>
      <w:r>
        <w:rPr>
          <w:rFonts w:ascii="Arial" w:cs="Arial" w:eastAsia="Arial" w:hAnsi="Arial"/>
          <w:color w:val="444444"/>
          <w:sz w:val="18"/>
          <w:szCs w:val="18"/>
        </w:rPr>
        <w:t xml:space="preserve">The instinct statements do not share the structured five-dimension phenomenology of the type statements (motivation, FOA, RP, energy, avoidance). The review framework applied here asked three questions per statement: (1) Will a genuine SP dominant score this high? (2) Will a non-SP dominant score this low? (3) Does the statement avoid measuring a construct orthogonal to instinct — such as introversion, protectiveness, or general life management — that any type or instinct might claim? Revisions were grounded in O’Hanrahan’s Subtypes Handbook and the Narrative Enneagram source material, which consistently describe SP as a preoccupation with physical comfort, material sufficiency, nest maintenance, and restorative self-care.</w:t>
      </w:r>
    </w:p>
    <w:p>
      <w:pPr>
        <w:spacing w:after="0" w:before="0"/>
      </w:pPr>
      <w:r>
        <w:br w:type="page"/>
      </w:r>
    </w:p>
    <w:p>
      <w:pPr>
        <w:spacing w:after="60" w:before="0"/>
      </w:pPr>
      <w:r>
        <w:rPr>
          <w:rFonts w:ascii="Arial" w:cs="Arial" w:eastAsia="Arial" w:hAnsi="Arial"/>
          <w:b/>
          <w:bCs/>
          <w:color w:val="006B7D"/>
          <w:sz w:val="32"/>
          <w:szCs w:val="32"/>
        </w:rPr>
        <w:t xml:space="preserve">Self-Preservation (SP)</w:t>
      </w:r>
    </w:p>
    <w:p>
      <w:pPr>
        <w:spacing w:after="140" w:before="0"/>
      </w:pPr>
      <w:r>
        <w:rPr>
          <w:rFonts w:ascii="Arial" w:cs="Arial" w:eastAsia="Arial" w:hAnsi="Arial"/>
          <w:i/>
          <w:iCs/>
          <w:color w:val="666666"/>
          <w:sz w:val="18"/>
          <w:szCs w:val="18"/>
        </w:rPr>
        <w:t xml:space="preserve">Domain: material and physical wellbeing — resources, comfort, health, security, and protecting what one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rPr>
          <w:tblHeader/>
        </w:trPr>
        <w:tc>
          <w:tcPr>
            <w:tcW w:type="dxa" w:w="80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Code</w:t>
            </w:r>
          </w:p>
        </w:tc>
        <w:tc>
          <w:tcPr>
            <w:tcW w:type="dxa" w:w="120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Label</w:t>
            </w:r>
          </w:p>
        </w:tc>
        <w:tc>
          <w:tcPr>
            <w:tcW w:type="dxa" w:w="368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Before</w:t>
            </w:r>
          </w:p>
        </w:tc>
        <w:tc>
          <w:tcPr>
            <w:tcW w:type="dxa" w:w="368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After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I1-SP-1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Body &amp; comfort</w:t>
            </w:r>
          </w:p>
        </w:tc>
        <w:tc>
          <w:tcPr>
            <w:tcW w:type="dxa" w:w="36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pay close attention to my physical comfort — things like temperature, hunger, rest, and whether my body feels okay.</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pay close attention to my physical comfort — things like temperature, hunger, rest, and how my body is feeling from moment to moment.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I1-SP-2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Enough / resources</w:t>
            </w:r>
          </w:p>
        </w:tc>
        <w:tc>
          <w:tcPr>
            <w:tcW w:type="dxa" w:w="36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keep track of whether I have enough resources (money, supplies, energy, time, etc) to ensure comfort and survival.</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keep track of whether I have enough of the practical, material things I need to feel secure and comfortable.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I1-SP-3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Security / nest</w:t>
            </w:r>
          </w:p>
        </w:tc>
        <w:tc>
          <w:tcPr>
            <w:tcW w:type="dxa" w:w="36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keep the people and things I depend on safe.</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find myself regularly checking that the practical foundations of my life — home, health, finances — are stable and in order.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I1-SP-4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Self-reliance</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r>
              <w:rPr>
                <w:rFonts w:ascii="Arial" w:cs="Arial" w:eastAsia="Arial" w:hAnsi="Arial"/>
                <w:b w:val="false"/>
                <w:bCs w:val="false"/>
                <w:i/>
                <w:iCs/>
                <w:color w:val="333333"/>
                <w:sz w:val="18"/>
                <w:szCs w:val="18"/>
              </w:rPr>
              <w:t xml:space="preserve">(unchanged)</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prefer to handle things myself rather than counting on others.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I1-SP-5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Energy direction</w:t>
            </w:r>
          </w:p>
        </w:tc>
        <w:tc>
          <w:tcPr>
            <w:tcW w:type="dxa" w:w="36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recharge by being on my own, in my own space, with no demands on me.</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restore my energy by returning to my own familiar environment and meeting my basic needs for rest, nourishment, and self-care.</w:t>
            </w:r>
          </w:p>
        </w:tc>
      </w:tr>
    </w:tbl>
    <w:p>
      <w:pPr>
        <w:spacing w:after="60" w:before="140"/>
      </w:pPr>
    </w:p>
    <w:p>
      <w:pPr>
        <w:spacing w:after="80" w:before="0"/>
      </w:pPr>
      <w:r>
        <w:rPr>
          <w:rFonts w:ascii="Arial" w:cs="Arial" w:eastAsia="Arial" w:hAnsi="Arial"/>
          <w:b/>
          <w:bCs/>
          <w:color w:val="555555"/>
          <w:sz w:val="18"/>
          <w:szCs w:val="18"/>
        </w:rPr>
        <w:t xml:space="preserve">Editorial notes</w:t>
      </w:r>
    </w:p>
    <w:p>
      <w:pPr>
        <w:pStyle w:val="ListParagraph"/>
        <w:numPr>
          <w:ilvl w:val="0"/>
          <w:numId w:val="2"/>
        </w:numPr>
      </w:pPr>
      <w:r>
        <w:rPr>
          <w:rFonts w:ascii="Arial" w:cs="Arial" w:eastAsia="Arial" w:hAnsi="Arial"/>
          <w:color w:val="555555"/>
          <w:sz w:val="18"/>
          <w:szCs w:val="18"/>
        </w:rPr>
        <w:t xml:space="preserve">I1-SP-1: ‘Whether my body feels okay’ replaced with ‘how my body is feeling from moment to moment’ — the original phrase risked resonating with health anxiety (particularly Type 6) regardless of instinct. The revision preserves the continuous somatic monitoring quality of SP without the health-check register.</w:t>
      </w:r>
    </w:p>
    <w:p>
      <w:pPr>
        <w:pStyle w:val="ListParagraph"/>
        <w:numPr>
          <w:ilvl w:val="0"/>
          <w:numId w:val="2"/>
        </w:numPr>
      </w:pPr>
      <w:r>
        <w:rPr>
          <w:rFonts w:ascii="Arial" w:cs="Arial" w:eastAsia="Arial" w:hAnsi="Arial"/>
          <w:color w:val="555555"/>
          <w:sz w:val="18"/>
          <w:szCs w:val="18"/>
        </w:rPr>
        <w:t xml:space="preserve">I1-SP-2: The resource list (money, supplies, energy, time) was too broad — energy and time are tracked by anyone managing a demanding life, regardless of instinct. Replaced with ‘practical, material things’ to ground the statement firmly in the SP domain of tangible, physical sufficiency. ‘Feel secure and comfortable’ replaces ‘ensure comfort and survival’ — more phenomenologically accurate to the SP’s felt-sense of enoughness.</w:t>
      </w:r>
    </w:p>
    <w:p>
      <w:pPr>
        <w:pStyle w:val="ListParagraph"/>
        <w:numPr>
          <w:ilvl w:val="0"/>
          <w:numId w:val="2"/>
        </w:numPr>
      </w:pPr>
      <w:r>
        <w:rPr>
          <w:rFonts w:ascii="Arial" w:cs="Arial" w:eastAsia="Arial" w:hAnsi="Arial"/>
          <w:color w:val="555555"/>
          <w:sz w:val="18"/>
          <w:szCs w:val="18"/>
        </w:rPr>
        <w:t xml:space="preserve">I1-SP-3: The original ‘I keep the people and things I depend on safe’ was action-oriented and protective in a way that resonated more with Type 8 or Type 6 than with the SP instinct per se. Per O’Hanrahan and the Narrative, SP security is a maintenance preoccupation — tending to the nest, checking that foundations are intact — not a protective response to threat. Completely rewritten to capture the ongoing nest-maintenance quality of SP security.</w:t>
      </w:r>
    </w:p>
    <w:p>
      <w:pPr>
        <w:pStyle w:val="ListParagraph"/>
        <w:numPr>
          <w:ilvl w:val="0"/>
          <w:numId w:val="2"/>
        </w:numPr>
      </w:pPr>
      <w:r>
        <w:rPr>
          <w:rFonts w:ascii="Arial" w:cs="Arial" w:eastAsia="Arial" w:hAnsi="Arial"/>
          <w:color w:val="555555"/>
          <w:sz w:val="18"/>
          <w:szCs w:val="18"/>
        </w:rPr>
        <w:t xml:space="preserve">I1-SP-4: Approved unchanged. Self-reliance is a well-grounded SP signal and the statement is appropriately counter-type-inclusive (SP/2 warmth, SP/6 anxiety).</w:t>
      </w:r>
    </w:p>
    <w:p>
      <w:pPr>
        <w:pStyle w:val="ListParagraph"/>
        <w:numPr>
          <w:ilvl w:val="0"/>
          <w:numId w:val="2"/>
        </w:numPr>
      </w:pPr>
      <w:r>
        <w:rPr>
          <w:rFonts w:ascii="Arial" w:cs="Arial" w:eastAsia="Arial" w:hAnsi="Arial"/>
          <w:color w:val="555555"/>
          <w:sz w:val="18"/>
          <w:szCs w:val="18"/>
        </w:rPr>
        <w:t xml:space="preserve">I1-SP-5: The original measured introversion more than SP dominance — any introverted SO or SX would score it high for the wrong reason. Rewritten to centre the SP’s relationship with home, routine, and self-care as restorative — grounded in O’Hanrahan’s description of SP ‘security-making operations’ and the Narrative’s SP definition (food, shelter, warmth, physical self-care).</w:t>
      </w:r>
    </w:p>
    <w:p>
      <w:pPr>
        <w:spacing w:after="80" w:before="200"/>
      </w:pPr>
    </w:p>
    <w:p>
      <w:pPr>
        <w:pBdr>
          <w:top w:val="single" w:color="CCCCCC" w:sz="4" w:space="8"/>
        </w:pBdr>
        <w:spacing w:after="0" w:before="0"/>
      </w:pPr>
      <w:r>
        <w:rPr>
          <w:rFonts w:ascii="Arial" w:cs="Arial" w:eastAsia="Arial" w:hAnsi="Arial"/>
          <w:i/>
          <w:iCs/>
          <w:color w:val="888888"/>
          <w:sz w:val="16"/>
          <w:szCs w:val="16"/>
        </w:rPr>
        <w:t xml:space="preserve">SX instinct statements to be reviewed in a subsequent session. Three-file propagation for CC build: assessment.js + stage1_labels.js + generate_report.js. Always branch first; never push directly to main.</w:t>
      </w:r>
    </w:p>
    <w:p>
      <w:pPr>
        <w:spacing w:after="0" w:before="0"/>
      </w:pPr>
      <w:r>
        <w:br w:type="page"/>
      </w:r>
    </w:p>
    <w:p>
      <w:pPr>
        <w:spacing w:after="60" w:before="0"/>
      </w:pPr>
      <w:r>
        <w:rPr>
          <w:rFonts w:ascii="Arial" w:cs="Arial" w:eastAsia="Arial" w:hAnsi="Arial"/>
          <w:b/>
          <w:bCs/>
          <w:color w:val="006B7D"/>
          <w:sz w:val="32"/>
          <w:szCs w:val="32"/>
        </w:rPr>
        <w:t xml:space="preserve">Social (SO)</w:t>
      </w:r>
    </w:p>
    <w:p>
      <w:pPr>
        <w:spacing w:after="140" w:before="0"/>
      </w:pPr>
      <w:r>
        <w:rPr>
          <w:rFonts w:ascii="Arial" w:cs="Arial" w:eastAsia="Arial" w:hAnsi="Arial"/>
          <w:i/>
          <w:iCs/>
          <w:color w:val="666666"/>
          <w:sz w:val="18"/>
          <w:szCs w:val="18"/>
        </w:rPr>
        <w:t xml:space="preserve">Domain: the group and one’s place in it — belonging, standing, trust and reciprocity, reading the social field.</w:t>
      </w:r>
    </w:p>
    <w:p>
      <w:pPr>
        <w:spacing w:after="60" w:before="0"/>
      </w:pPr>
      <w:r>
        <w:rPr>
          <w:rFonts w:ascii="Arial" w:cs="Arial" w:eastAsia="Arial" w:hAnsi="Arial"/>
          <w:i/>
          <w:iCs/>
          <w:color w:val="E65100"/>
          <w:sz w:val="17"/>
          <w:szCs w:val="17"/>
        </w:rPr>
        <w:t xml:space="preserve">Status: APPROVED · PENDING MO REVIEW + CC BUILD · All five statements revised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80"/>
        <w:gridCol w:w="3680"/>
      </w:tblGrid>
      <w:tr>
        <w:trPr>
          <w:tblHeader/>
        </w:trPr>
        <w:tc>
          <w:tcPr>
            <w:tcW w:type="dxa" w:w="80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Code</w:t>
            </w:r>
          </w:p>
        </w:tc>
        <w:tc>
          <w:tcPr>
            <w:tcW w:type="dxa" w:w="120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Label</w:t>
            </w:r>
          </w:p>
        </w:tc>
        <w:tc>
          <w:tcPr>
            <w:tcW w:type="dxa" w:w="368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Before</w:t>
            </w:r>
          </w:p>
        </w:tc>
        <w:tc>
          <w:tcPr>
            <w:tcW w:type="dxa" w:w="368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After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I1-SO-1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Place in the group</w:t>
            </w:r>
          </w:p>
        </w:tc>
        <w:tc>
          <w:tcPr>
            <w:tcW w:type="dxa" w:w="36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pay attention to where I stand in a group and how I’m coming across to the people in it.</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pay attention to my place in a group — whether I belong, what role I play, and my standing within it.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I1-SO-2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Trust / reciprocity</w:t>
            </w:r>
          </w:p>
        </w:tc>
        <w:tc>
          <w:tcPr>
            <w:tcW w:type="dxa" w:w="36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pay attention to who in a group is reliable and can be counted on, and who can’t.</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pay attention to whether people in a group are showing up, pulling their weight, and treating each other respectfully.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I1-SO-3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Social landscape</w:t>
            </w:r>
          </w:p>
        </w:tc>
        <w:tc>
          <w:tcPr>
            <w:tcW w:type="dxa" w:w="36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notice the social landscape — who’s connected to whom, who’s in, who’s on the outside.</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naturally read a room, quickly picking up on who has influence, how people relate to each other, and where I fit.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I1-SO-4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Larger belonging</w:t>
            </w:r>
          </w:p>
        </w:tc>
        <w:tc>
          <w:tcPr>
            <w:tcW w:type="dxa" w:w="36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am pulled toward something larger than myself: a cause, a community, a group I want to be part of.</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I’m pulled toward being part of something bigger than myself, whether that’s a cause, a community, or a shared mission.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8"/>
                <w:szCs w:val="18"/>
              </w:rPr>
              <w:t xml:space="preserve">I1-SO-5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Energy direction</w:t>
            </w:r>
          </w:p>
        </w:tc>
        <w:tc>
          <w:tcPr>
            <w:tcW w:type="dxa" w:w="368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get my energy by being part of a community.</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8"/>
                <w:szCs w:val="18"/>
              </w:rPr>
              <w:t xml:space="preserve">I invest my energy in the relationships, obligations, and communities that make up my social network.</w:t>
            </w:r>
          </w:p>
        </w:tc>
      </w:tr>
    </w:tbl>
    <w:p>
      <w:pPr>
        <w:spacing w:after="60" w:before="140"/>
      </w:pPr>
    </w:p>
    <w:p>
      <w:pPr>
        <w:spacing w:after="80" w:before="0"/>
      </w:pPr>
      <w:r>
        <w:rPr>
          <w:rFonts w:ascii="Arial" w:cs="Arial" w:eastAsia="Arial" w:hAnsi="Arial"/>
          <w:b/>
          <w:bCs/>
          <w:color w:val="555555"/>
          <w:sz w:val="18"/>
          <w:szCs w:val="18"/>
        </w:rPr>
        <w:t xml:space="preserve">Editorial notes</w:t>
      </w:r>
    </w:p>
    <w:p>
      <w:pPr>
        <w:pStyle w:val="ListParagraph"/>
        <w:numPr>
          <w:ilvl w:val="0"/>
          <w:numId w:val="2"/>
        </w:numPr>
      </w:pPr>
      <w:r>
        <w:rPr>
          <w:rFonts w:ascii="Arial" w:cs="Arial" w:eastAsia="Arial" w:hAnsi="Arial"/>
          <w:color w:val="555555"/>
          <w:sz w:val="18"/>
          <w:szCs w:val="18"/>
        </w:rPr>
        <w:t xml:space="preserve">I1-SO-1: ‘How I’m coming across’ replaced — it was image-monitoring territory that overlapped with Type 3. Rewritten around the SO’s core preoccupations of belonging, role, and standing, grounded in O’Hanrahan’s description of the SO instinct as seeking a place in the social structure.</w:t>
      </w:r>
    </w:p>
    <w:p>
      <w:pPr>
        <w:pStyle w:val="ListParagraph"/>
        <w:numPr>
          <w:ilvl w:val="0"/>
          <w:numId w:val="2"/>
        </w:numPr>
      </w:pPr>
      <w:r>
        <w:rPr>
          <w:rFonts w:ascii="Arial" w:cs="Arial" w:eastAsia="Arial" w:hAnsi="Arial"/>
          <w:color w:val="555555"/>
          <w:sz w:val="18"/>
          <w:szCs w:val="18"/>
        </w:rPr>
        <w:t xml:space="preserve">I1-SO-2: The original measured trust-worthiness of individuals — too close to Type 6 threat-scanning. Rewritten to capture the SO’s preoccupation with social fairness and reciprocal obligation: whether the group’s social contract is being honored. Grounded in the Narrative’s naming of fairness and alliances as central SO concerns.</w:t>
      </w:r>
    </w:p>
    <w:p>
      <w:pPr>
        <w:pStyle w:val="ListParagraph"/>
        <w:numPr>
          <w:ilvl w:val="0"/>
          <w:numId w:val="2"/>
        </w:numPr>
      </w:pPr>
      <w:r>
        <w:rPr>
          <w:rFonts w:ascii="Arial" w:cs="Arial" w:eastAsia="Arial" w:hAnsi="Arial"/>
          <w:color w:val="555555"/>
          <w:sz w:val="18"/>
          <w:szCs w:val="18"/>
        </w:rPr>
        <w:t xml:space="preserve">I1-SO-3: The original social topology statement (‘who’s connected to whom, who’s in, who’s on the outside’) was observational but passive. Replaced with the SO’s active navigation competence — reading the room, tracking influence, and locating oneself within the social field. This also resolved the redundancy created when SO-5 was revised.</w:t>
      </w:r>
    </w:p>
    <w:p>
      <w:pPr>
        <w:pStyle w:val="ListParagraph"/>
        <w:numPr>
          <w:ilvl w:val="0"/>
          <w:numId w:val="2"/>
        </w:numPr>
      </w:pPr>
      <w:r>
        <w:rPr>
          <w:rFonts w:ascii="Arial" w:cs="Arial" w:eastAsia="Arial" w:hAnsi="Arial"/>
          <w:color w:val="555555"/>
          <w:sz w:val="18"/>
          <w:szCs w:val="18"/>
        </w:rPr>
        <w:t xml:space="preserve">I1-SO-4: Minor rewrite for natural language and concision. ‘Something larger than myself’ retained as the core beat; colon construction replaced with a more conversational ‘whether that’s’ formulation. Grounded in O’Hanrahan’s description of SO as extending beyond home and family toward tribe, cause, and shared purpose.</w:t>
      </w:r>
    </w:p>
    <w:p>
      <w:pPr>
        <w:pStyle w:val="ListParagraph"/>
        <w:numPr>
          <w:ilvl w:val="0"/>
          <w:numId w:val="2"/>
        </w:numPr>
      </w:pPr>
      <w:r>
        <w:rPr>
          <w:rFonts w:ascii="Arial" w:cs="Arial" w:eastAsia="Arial" w:hAnsi="Arial"/>
          <w:color w:val="555555"/>
          <w:sz w:val="18"/>
          <w:szCs w:val="18"/>
        </w:rPr>
        <w:t xml:space="preserve">I1-SO-5: The original measured extraversion rather than SO dominance — any extroverted SX or SP would score it high. Rewritten to capture the SO’s ongoing investment in social maintenance: relationships, obligations, and community membership. Grounded in O’Hanrahan’s description of SO energy as going toward group work, social duty, and joining forces with like-minded others.</w:t>
      </w:r>
    </w:p>
    <w:p>
      <w:pPr>
        <w:spacing w:after="80" w:before="200"/>
      </w:pPr>
    </w:p>
    <w:p>
      <w:pPr>
        <w:pBdr>
          <w:top w:val="single" w:color="CCCCCC" w:sz="4" w:space="8"/>
        </w:pBdr>
        <w:spacing w:after="0" w:before="0"/>
      </w:pPr>
      <w:r>
        <w:rPr>
          <w:rFonts w:ascii="Arial" w:cs="Arial" w:eastAsia="Arial" w:hAnsi="Arial"/>
          <w:i/>
          <w:iCs/>
          <w:color w:val="888888"/>
          <w:sz w:val="16"/>
          <w:szCs w:val="16"/>
        </w:rPr>
        <w:t xml:space="preserve">SX instinct statements to be reviewed in a subsequent session. Three-file propagation for CC build: assessment.js + stage1_labels.js + generate_report.js. Always branch first; never push directly to main.</w:t>
      </w:r>
    </w:p>
    <w:p>
      <w:pPr>
        <w:spacing w:after="0" w:before="0"/>
      </w:pPr>
      <w:r>
        <w:br w:type="page"/>
      </w:r>
    </w:p>
    <w:p>
      <w:pPr>
        <w:spacing w:after="60" w:before="0"/>
      </w:pPr>
      <w:r>
        <w:rPr>
          <w:rFonts w:ascii="Arial" w:cs="Arial" w:eastAsia="Arial" w:hAnsi="Arial"/>
          <w:b/>
          <w:bCs/>
          <w:color w:val="006B7D"/>
          <w:sz w:val="32"/>
          <w:szCs w:val="32"/>
        </w:rPr>
        <w:t xml:space="preserve">Sexual / One-to-One (SX)</w:t>
      </w:r>
    </w:p>
    <w:p>
      <w:pPr>
        <w:spacing w:after="80" w:before="0"/>
      </w:pPr>
      <w:r>
        <w:rPr>
          <w:rFonts w:ascii="Arial" w:cs="Arial" w:eastAsia="Arial" w:hAnsi="Arial"/>
          <w:i/>
          <w:iCs/>
          <w:color w:val="666666"/>
          <w:sz w:val="18"/>
          <w:szCs w:val="18"/>
        </w:rPr>
        <w:t xml:space="preserve">Domain: transmitting outward — magnetized one-to-one attention, asserting what one wants, having an impact.</w:t>
      </w:r>
    </w:p>
    <w:p>
      <w:pPr>
        <w:spacing w:after="60" w:before="0"/>
      </w:pPr>
      <w:r>
        <w:rPr>
          <w:rFonts w:ascii="Arial" w:cs="Arial" w:eastAsia="Arial" w:hAnsi="Arial"/>
          <w:i/>
          <w:iCs/>
          <w:color w:val="E65100"/>
          <w:sz w:val="17"/>
          <w:szCs w:val="17"/>
        </w:rPr>
        <w:t xml:space="preserve">Status: APPROVED · PENDING MO REVIEW + CC BUILD · All five statements revised</w:t>
      </w:r>
    </w:p>
    <w:p>
      <w:pPr>
        <w:spacing w:after="60" w:before="60"/>
      </w:pPr>
    </w:p>
    <w:p>
      <w:pPr>
        <w:pBdr>
          <w:top w:val="single" w:color="006B7D" w:sz="4" w:space="6"/>
          <w:bottom w:val="single" w:color="006B7D" w:sz="4" w:space="6"/>
        </w:pBdr>
        <w:spacing w:after="80" w:before="80"/>
      </w:pPr>
      <w:r>
        <w:rPr>
          <w:rFonts w:ascii="Arial" w:cs="Arial" w:eastAsia="Arial" w:hAnsi="Arial"/>
          <w:i/>
          <w:iCs/>
          <w:color w:val="006B7D"/>
          <w:sz w:val="17"/>
          <w:szCs w:val="17"/>
        </w:rPr>
        <w:t xml:space="preserve">Different approach: The SX block was restructured more substantially than SP and SO. Research into O’Hanrahan’s Subtypes Handbook, the Narrative Enneagram source material, and the InsightOut content library identified five core SX dimensions that the original statements did not cleanly map to: Intensity, Attraction, Bonding, Transmitting, and Vitality. The table below preserves original labels and statements alongside the new labels and revised statements for Mo’s comparison.</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830"/>
        <w:gridCol w:w="1000"/>
        <w:gridCol w:w="2830"/>
      </w:tblGrid>
      <w:tr>
        <w:trPr>
          <w:tblHeader/>
        </w:trPr>
        <w:tc>
          <w:tcPr>
            <w:tcW w:type="dxa" w:w="70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Code</w:t>
            </w:r>
          </w:p>
        </w:tc>
        <w:tc>
          <w:tcPr>
            <w:tcW w:type="dxa" w:w="100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Old Label</w:t>
            </w:r>
          </w:p>
        </w:tc>
        <w:tc>
          <w:tcPr>
            <w:tcW w:type="dxa" w:w="283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Before</w:t>
            </w:r>
          </w:p>
        </w:tc>
        <w:tc>
          <w:tcPr>
            <w:tcW w:type="dxa" w:w="100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New Label</w:t>
            </w:r>
          </w:p>
        </w:tc>
        <w:tc>
          <w:tcPr>
            <w:tcW w:type="dxa" w:w="2830"/>
            <w:tcBorders>
              <w:top w:val="single" w:color="CCCCCC" w:sz="1"/>
              <w:left w:val="single" w:color="CCCCCC" w:sz="1"/>
              <w:bottom w:val="single" w:color="CCCCCC" w:sz="1"/>
              <w:right w:val="single" w:color="CCCCCC" w:sz="1"/>
            </w:tcBorders>
            <w:shd w:fill="006B7D"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After</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I1-SX-1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r>
              <w:rPr>
                <w:rFonts w:ascii="Arial" w:cs="Arial" w:eastAsia="Arial" w:hAnsi="Arial"/>
                <w:b w:val="false"/>
                <w:bCs w:val="false"/>
                <w:i/>
                <w:iCs/>
                <w:color w:val="333333"/>
                <w:sz w:val="17"/>
                <w:szCs w:val="17"/>
              </w:rPr>
              <w:t xml:space="preserve">Magnetized attention</w:t>
            </w:r>
          </w:p>
        </w:tc>
        <w:tc>
          <w:tcPr>
            <w:tcW w:type="dxa" w:w="283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My attention gets pulled strongly toward specific people or things, sometimes to the point of crowding out everything else.</w:t>
            </w:r>
          </w:p>
        </w:tc>
        <w:tc>
          <w:tcPr>
            <w:tcW w:type="dxa" w:w="10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Intensity</w:t>
            </w:r>
          </w:p>
        </w:tc>
        <w:tc>
          <w:tcPr>
            <w:tcW w:type="dxa" w:w="283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I’m drawn to experiences, conversations, and people that have real depth and intensity.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I1-SX-2</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r>
              <w:rPr>
                <w:rFonts w:ascii="Arial" w:cs="Arial" w:eastAsia="Arial" w:hAnsi="Arial"/>
                <w:b w:val="false"/>
                <w:bCs w:val="false"/>
                <w:i/>
                <w:iCs/>
                <w:color w:val="333333"/>
                <w:sz w:val="17"/>
                <w:szCs w:val="17"/>
              </w:rPr>
              <w:t xml:space="preserve">Energy direction</w:t>
            </w:r>
          </w:p>
        </w:tc>
        <w:tc>
          <w:tcPr>
            <w:tcW w:type="dxa" w:w="283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I find intense one-on-one conversations energizing.</w:t>
            </w:r>
          </w:p>
        </w:tc>
        <w:tc>
          <w:tcPr>
            <w:tcW w:type="dxa" w:w="10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Attraction</w:t>
            </w:r>
          </w:p>
        </w:tc>
        <w:tc>
          <w:tcPr>
            <w:tcW w:type="dxa" w:w="283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When something or someone captures my attention, the pull is immediate, strong, and hard to ignore.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I1-SX-3</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r>
              <w:rPr>
                <w:rFonts w:ascii="Arial" w:cs="Arial" w:eastAsia="Arial" w:hAnsi="Arial"/>
                <w:b w:val="false"/>
                <w:bCs w:val="false"/>
                <w:i/>
                <w:iCs/>
                <w:color w:val="333333"/>
                <w:sz w:val="17"/>
                <w:szCs w:val="17"/>
              </w:rPr>
              <w:t xml:space="preserve">Override</w:t>
            </w:r>
          </w:p>
        </w:tc>
        <w:tc>
          <w:tcPr>
            <w:tcW w:type="dxa" w:w="283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When I’m captivated by someone or something, the pull can override my better judgment about what I should be doing.</w:t>
            </w:r>
          </w:p>
        </w:tc>
        <w:tc>
          <w:tcPr>
            <w:tcW w:type="dxa" w:w="10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Bonding</w:t>
            </w:r>
          </w:p>
        </w:tc>
        <w:tc>
          <w:tcPr>
            <w:tcW w:type="dxa" w:w="283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I prefer direct, face-to-face connection where both of us feel fully met and fully seen.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I1-SX-4</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r>
              <w:rPr>
                <w:rFonts w:ascii="Arial" w:cs="Arial" w:eastAsia="Arial" w:hAnsi="Arial"/>
                <w:b w:val="false"/>
                <w:bCs w:val="false"/>
                <w:i/>
                <w:iCs/>
                <w:color w:val="333333"/>
                <w:sz w:val="17"/>
                <w:szCs w:val="17"/>
              </w:rPr>
              <w:t xml:space="preserve">Asserting</w:t>
            </w:r>
          </w:p>
        </w:tc>
        <w:tc>
          <w:tcPr>
            <w:tcW w:type="dxa" w:w="283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When I want something, I go after it directly and don’t hold back.</w:t>
            </w:r>
          </w:p>
        </w:tc>
        <w:tc>
          <w:tcPr>
            <w:tcW w:type="dxa" w:w="10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Transmitting</w:t>
            </w:r>
          </w:p>
        </w:tc>
        <w:tc>
          <w:tcPr>
            <w:tcW w:type="dxa" w:w="283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I bring a lot of energy and presence to the people and things I care about.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I1-SX-5</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r>
              <w:rPr>
                <w:rFonts w:ascii="Arial" w:cs="Arial" w:eastAsia="Arial" w:hAnsi="Arial"/>
                <w:b w:val="false"/>
                <w:bCs w:val="false"/>
                <w:i/>
                <w:iCs/>
                <w:color w:val="333333"/>
                <w:sz w:val="17"/>
                <w:szCs w:val="17"/>
              </w:rPr>
              <w:t xml:space="preserve">Impressing</w:t>
            </w:r>
          </w:p>
        </w:tc>
        <w:tc>
          <w:tcPr>
            <w:tcW w:type="dxa" w:w="283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I want to have a real impact on the people and things that matter to me, even if I don’t make it obvious.</w:t>
            </w:r>
          </w:p>
        </w:tc>
        <w:tc>
          <w:tcPr>
            <w:tcW w:type="dxa" w:w="10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bCs/>
                <w:i w:val="false"/>
                <w:iCs w:val="false"/>
                <w:color w:val="333333"/>
                <w:sz w:val="17"/>
                <w:szCs w:val="17"/>
              </w:rPr>
              <w:t xml:space="preserve">Vitality</w:t>
            </w:r>
          </w:p>
        </w:tc>
        <w:tc>
          <w:tcPr>
            <w:tcW w:type="dxa" w:w="283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top"/>
          </w:tcPr>
          <w:p>
            <w:r>
              <w:rPr>
                <w:rFonts w:ascii="Arial" w:cs="Arial" w:eastAsia="Arial" w:hAnsi="Arial"/>
                <w:b w:val="false"/>
                <w:bCs w:val="false"/>
                <w:i w:val="false"/>
                <w:iCs w:val="false"/>
                <w:color w:val="333333"/>
                <w:sz w:val="17"/>
                <w:szCs w:val="17"/>
              </w:rPr>
              <w:t xml:space="preserve">There’s a quality of aliveness I look for in relationships and experiences and I know immediately if it’s there or not.</w:t>
            </w:r>
          </w:p>
        </w:tc>
      </w:tr>
    </w:tbl>
    <w:p>
      <w:pPr>
        <w:spacing w:after="60" w:before="140"/>
      </w:pPr>
    </w:p>
    <w:p>
      <w:pPr>
        <w:spacing w:after="80" w:before="0"/>
      </w:pPr>
      <w:r>
        <w:rPr>
          <w:rFonts w:ascii="Arial" w:cs="Arial" w:eastAsia="Arial" w:hAnsi="Arial"/>
          <w:b/>
          <w:bCs/>
          <w:color w:val="555555"/>
          <w:sz w:val="18"/>
          <w:szCs w:val="18"/>
        </w:rPr>
        <w:t xml:space="preserve">Editorial notes</w:t>
      </w:r>
    </w:p>
    <w:p>
      <w:pPr>
        <w:pStyle w:val="ListParagraph"/>
        <w:numPr>
          <w:ilvl w:val="0"/>
          <w:numId w:val="2"/>
        </w:numPr>
      </w:pPr>
      <w:r>
        <w:rPr>
          <w:rFonts w:ascii="Arial" w:cs="Arial" w:eastAsia="Arial" w:hAnsi="Arial"/>
          <w:color w:val="555555"/>
          <w:sz w:val="18"/>
          <w:szCs w:val="18"/>
        </w:rPr>
        <w:t xml:space="preserve">Approach note: The SX instinct block was restructured more substantially than SP and SO. Research into O’Hanrahan’s Subtypes Handbook, the Narrative Enneagram source material, and the InsightOut content library identified five core SX dimensions that the original statements did not cleanly map to: Intensity, Attraction, Bonding, Transmitting, and Vitality. The original labels (Magnetized attention, Energy direction, Override, Asserting, Impressing) and their statements have been preserved in the Before column for reference. New labels appear in the New Label column alongside the revised statements.</w:t>
      </w:r>
    </w:p>
    <w:p>
      <w:pPr>
        <w:pStyle w:val="ListParagraph"/>
        <w:numPr>
          <w:ilvl w:val="0"/>
          <w:numId w:val="2"/>
        </w:numPr>
      </w:pPr>
      <w:r>
        <w:rPr>
          <w:rFonts w:ascii="Arial" w:cs="Arial" w:eastAsia="Arial" w:hAnsi="Arial"/>
          <w:color w:val="555555"/>
          <w:sz w:val="18"/>
          <w:szCs w:val="18"/>
        </w:rPr>
        <w:t xml:space="preserve">I1-SX-1 (Intensity): The original ‘crowding out everything else’ described a consequence of the SX pull rather than the pull itself, and was unlikely to be self-claimed. Replaced with a statement grounded in O’Hanrahan’s core description of SX as seeking intensity — in relationships, conversations, and experiences.</w:t>
      </w:r>
    </w:p>
    <w:p>
      <w:pPr>
        <w:pStyle w:val="ListParagraph"/>
        <w:numPr>
          <w:ilvl w:val="0"/>
          <w:numId w:val="2"/>
        </w:numPr>
      </w:pPr>
      <w:r>
        <w:rPr>
          <w:rFonts w:ascii="Arial" w:cs="Arial" w:eastAsia="Arial" w:hAnsi="Arial"/>
          <w:color w:val="555555"/>
          <w:sz w:val="18"/>
          <w:szCs w:val="18"/>
        </w:rPr>
        <w:t xml:space="preserve">I1-SX-2 (Attraction): The original energy direction statement measured preference for one-on-one conversation rather than the SX instinct’s magnetic pull toward specific people or things. Replaced with a statement capturing the immediacy and strength of SX attraction.</w:t>
      </w:r>
    </w:p>
    <w:p>
      <w:pPr>
        <w:pStyle w:val="ListParagraph"/>
        <w:numPr>
          <w:ilvl w:val="0"/>
          <w:numId w:val="2"/>
        </w:numPr>
      </w:pPr>
      <w:r>
        <w:rPr>
          <w:rFonts w:ascii="Arial" w:cs="Arial" w:eastAsia="Arial" w:hAnsi="Arial"/>
          <w:color w:val="555555"/>
          <w:sz w:val="18"/>
          <w:szCs w:val="18"/>
        </w:rPr>
        <w:t xml:space="preserve">I1-SX-3 (Bonding): The original override statement was theoretically sound but unlikely to be self-claimed (‘who wants to cop to that’). Replaced with a statement grounded in O’Hanrahan’s description of the SX bonding drive as seeking direct, face-to-face contact with a quality of intensity — being fully met and fully seen.</w:t>
      </w:r>
    </w:p>
    <w:p>
      <w:pPr>
        <w:pStyle w:val="ListParagraph"/>
        <w:numPr>
          <w:ilvl w:val="0"/>
          <w:numId w:val="2"/>
        </w:numPr>
      </w:pPr>
      <w:r>
        <w:rPr>
          <w:rFonts w:ascii="Arial" w:cs="Arial" w:eastAsia="Arial" w:hAnsi="Arial"/>
          <w:color w:val="555555"/>
          <w:sz w:val="18"/>
          <w:szCs w:val="18"/>
        </w:rPr>
        <w:t xml:space="preserve">I1-SX-4 (Transmitting): The original asserting statement was retained in concept but rewritten to land the SX’s outward transmission of energy and presence rather than simple directness, which could be claimed by Type 8 regardless of instinct.</w:t>
      </w:r>
    </w:p>
    <w:p>
      <w:pPr>
        <w:pStyle w:val="ListParagraph"/>
        <w:numPr>
          <w:ilvl w:val="0"/>
          <w:numId w:val="2"/>
        </w:numPr>
      </w:pPr>
      <w:r>
        <w:rPr>
          <w:rFonts w:ascii="Arial" w:cs="Arial" w:eastAsia="Arial" w:hAnsi="Arial"/>
          <w:color w:val="555555"/>
          <w:sz w:val="18"/>
          <w:szCs w:val="18"/>
        </w:rPr>
        <w:t xml:space="preserve">I1-SX-5 (Vitality): The original impressing statement was replaced with a statement capturing the Narrative’s description of the SX instinct as governing ‘the movement of the life force or vitality within our bodies’ — the SX person’s attunement to aliveness in relationships and experiences.</w:t>
      </w:r>
    </w:p>
    <w:p>
      <w:pPr>
        <w:spacing w:after="80" w:before="200"/>
      </w:pPr>
    </w:p>
    <w:p>
      <w:pPr>
        <w:pBdr>
          <w:top w:val="single" w:color="CCCCCC" w:sz="4" w:space="8"/>
        </w:pBdr>
        <w:spacing w:after="0" w:before="0"/>
      </w:pPr>
      <w:r>
        <w:rPr>
          <w:rFonts w:ascii="Arial" w:cs="Arial" w:eastAsia="Arial" w:hAnsi="Arial"/>
          <w:i/>
          <w:iCs/>
          <w:color w:val="888888"/>
          <w:sz w:val="16"/>
          <w:szCs w:val="16"/>
        </w:rPr>
        <w:t xml:space="preserve">Three-file propagation for CC build: assessment.js + stage1_labels.js + generate_report.js. Always branch first; never push directly to main.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360" w:hanging="240"/>
      </w:pPr>
      <w:rPr>
        <w:rFonts w:ascii="Arial" w:cs="Arial" w:eastAsia="Arial" w:hAnsi="Arial"/>
        <w:color w:val="555555"/>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2026-06-29T03:55:50.473Z</dcterms:created>
  <dcterms:modified xsi:type="dcterms:W3CDTF">2026-06-29T03:55:50.474Z</dcterms:modified>
</cp:coreProperties>
</file>

<file path=docProps/custom.xml><?xml version="1.0" encoding="utf-8"?>
<Properties xmlns="http://schemas.openxmlformats.org/officeDocument/2006/custom-properties" xmlns:vt="http://schemas.openxmlformats.org/officeDocument/2006/docPropsVTypes"/>
</file>