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0B2D9"/>
          <w:sz w:val="22"/>
          <w:szCs w:val="22"/>
        </w:rPr>
        <w:t xml:space="preserve">HIVE, INC.</w:t>
      </w:r>
    </w:p>
    <w:p>
      <w:pPr>
        <w:spacing w:after="200"/>
      </w:pPr>
      <w:r>
        <w:rPr>
          <w:color w:val="6E6E6E"/>
          <w:sz w:val="22"/>
          <w:szCs w:val="22"/>
        </w:rPr>
        <w:t xml:space="preserve">InsightOut Platform</w:t>
      </w:r>
    </w:p>
    <w:p>
      <w:pPr>
        <w:spacing w:after="80"/>
      </w:pPr>
      <w:r>
        <w:rPr>
          <w:b/>
          <w:bCs/>
          <w:color w:val="1A2942"/>
          <w:sz w:val="44"/>
          <w:szCs w:val="44"/>
        </w:rPr>
        <w:t xml:space="preserve">SaaS Provisioning &amp; Commerce Architecture</w:t>
      </w:r>
    </w:p>
    <w:p>
      <w:pPr>
        <w:spacing w:after="300"/>
      </w:pPr>
      <w:r>
        <w:rPr>
          <w:i/>
          <w:iCs/>
          <w:color w:val="6E6E6E"/>
          <w:sz w:val="24"/>
          <w:szCs w:val="24"/>
        </w:rPr>
        <w:t xml:space="preserve">Design Decisions Log — Extends the Full Identity &amp; Access Architecture v1.2</w:t>
      </w:r>
    </w:p>
    <w:p>
      <w:pPr>
        <w:spacing w:after="20"/>
      </w:pPr>
      <w:r>
        <w:rPr>
          <w:color w:val="6E6E6E"/>
          <w:sz w:val="20"/>
          <w:szCs w:val="20"/>
        </w:rPr>
        <w:t xml:space="preserve">Version 1.0  |  June 2026  |  Confidential</w:t>
      </w:r>
    </w:p>
    <w:p>
      <w:pPr>
        <w:spacing w:after="280"/>
      </w:pPr>
      <w:r>
        <w:rPr>
          <w:color w:val="6E6E6E"/>
          <w:sz w:val="20"/>
          <w:szCs w:val="20"/>
        </w:rPr>
        <w:t xml:space="preserve">Author: Cai Delumpa, drafted in working session with Claude  |  Pending: Mo Breault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color w:val="1A2942"/>
                <w:sz w:val="16"/>
                <w:szCs w:val="16"/>
              </w:rPr>
              <w:t xml:space="preserve">Repo</w:t>
            </w:r>
          </w:p>
          <w:p>
            <w:r>
              <w:rPr>
                <w:color w:val="404040"/>
                <w:sz w:val="18"/>
                <w:szCs w:val="18"/>
              </w:rPr>
              <w:t xml:space="preserve">cdelumpa/hive-typing-engine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color w:val="1A2942"/>
                <w:sz w:val="16"/>
                <w:szCs w:val="16"/>
              </w:rPr>
              <w:t xml:space="preserve">Service</w:t>
            </w:r>
          </w:p>
          <w:p>
            <w:r>
              <w:rPr>
                <w:color w:val="404040"/>
                <w:sz w:val="18"/>
                <w:szCs w:val="18"/>
              </w:rPr>
              <w:t xml:space="preserve">hive-typing-engine (Railway)</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color w:val="1A2942"/>
                <w:sz w:val="16"/>
                <w:szCs w:val="16"/>
              </w:rPr>
              <w:t xml:space="preserve">Version</w:t>
            </w:r>
          </w:p>
          <w:p>
            <w:r>
              <w:rPr>
                <w:color w:val="404040"/>
                <w:sz w:val="18"/>
                <w:szCs w:val="18"/>
              </w:rPr>
              <w:t xml:space="preserve">v1.0 — June 2026</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color w:val="1A2942"/>
                <w:sz w:val="16"/>
                <w:szCs w:val="16"/>
              </w:rPr>
              <w:t xml:space="preserve">Status</w:t>
            </w:r>
          </w:p>
          <w:p>
            <w:r>
              <w:rPr>
                <w:color w:val="404040"/>
                <w:sz w:val="18"/>
                <w:szCs w:val="18"/>
              </w:rPr>
              <w:t xml:space="preserve">Draft — Pending Mo Review</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F68625" w:sz="24"/>
              <w:bottom w:val="single" w:color="CCCCCC" w:sz="4"/>
              <w:right w:val="single" w:color="CCCCCC" w:sz="4"/>
            </w:tcBorders>
            <w:shd w:fill="FBF1E6" w:val="clear"/>
            <w:tcMar>
              <w:top w:type="dxa" w:w="160"/>
              <w:left w:type="dxa" w:w="200"/>
              <w:bottom w:type="dxa" w:w="160"/>
              <w:right w:type="dxa" w:w="200"/>
            </w:tcMar>
          </w:tcPr>
          <w:p>
            <w:pPr>
              <w:spacing w:after="60"/>
            </w:pPr>
            <w:r>
              <w:rPr>
                <w:b/>
                <w:bCs/>
                <w:color w:val="1A2942"/>
              </w:rPr>
              <w:t xml:space="preserve">How to read this document:</w:t>
            </w:r>
          </w:p>
          <w:p>
            <w:r>
              <w:rPr>
                <w:color w:val="404040"/>
              </w:rPr>
              <w:t xml:space="preserve">This is a decisions log from an exploratory design conversation, not a ratified spec. Section 2 is a fast-scan summary. Sections 3–8 walk through the reasoning behind each decision. Section 9 lists everything still open. Section 10 proposes concrete schema additions to the Identity &amp; Access Architecture v1.2 — additive only, nothing here changes anything already ratified in v1.2.</w:t>
            </w:r>
          </w:p>
        </w:tc>
      </w:tr>
    </w:tbl>
    <w:p>
      <w:r>
        <w:br w:type="page"/>
      </w:r>
    </w:p>
    <w:p>
      <w:pPr>
        <w:pStyle w:val="Heading1"/>
      </w:pPr>
      <w:r>
        <w:t xml:space="preserve">1. Purpose &amp; Scope</w:t>
      </w:r>
    </w:p>
    <w:p>
      <w:pPr>
        <w:spacing w:after="160"/>
      </w:pPr>
      <w:r>
        <w:rPr>
          <w:b w:val="false"/>
          <w:bCs w:val="false"/>
          <w:i w:val="false"/>
          <w:iCs w:val="false"/>
          <w:color w:val="404040"/>
        </w:rPr>
        <w:t xml:space="preserve">This document captures decisions reached in a working conversation between Cai and Claude about how InsightOut will provision coaches, clients, and assessments at scale once the platform moves to a SaaS commerce model — selling individual and packaged assessment credits to certified coaches, plus a direct-to-consumer offering, ahead of the fall 2026 public launch.</w:t>
      </w:r>
    </w:p>
    <w:p>
      <w:pPr>
        <w:spacing w:after="160"/>
      </w:pPr>
      <w:r>
        <w:rPr>
          <w:b w:val="false"/>
          <w:bCs w:val="false"/>
          <w:i w:val="false"/>
          <w:iCs w:val="false"/>
          <w:color w:val="404040"/>
        </w:rPr>
        <w:t xml:space="preserve">It builds on top of, and does not modify, the core decisions already ratified in the Full Identity &amp; Access Architecture v1.2 (the users / roles / user_roles model, progressive suspension, and the coaches and clients domain tables). Where this document proposes new tables or fields, they extend that schema rather than replace any part of it.</w:t>
      </w:r>
    </w:p>
    <w:p>
      <w:pPr>
        <w:spacing w:after="160"/>
      </w:pPr>
      <w:r>
        <w:rPr>
          <w:b w:val="false"/>
          <w:bCs w:val="false"/>
          <w:i w:val="false"/>
          <w:iCs w:val="false"/>
          <w:color w:val="404040"/>
        </w:rPr>
        <w:t xml:space="preserve">Not everything here is scoped for the October 2026 launch. Some items — notably the public coach marketplace, the Leadership Report, and the Team Report — are explicitly future work. They're included now because the provisioning model and credit ledger should be designed with them in mind, even though they won't ship at launch. Each section notes its expected timing where that's been discussed.</w:t>
      </w:r>
    </w:p>
    <w:p>
      <w:pPr>
        <w:spacing w:after="160"/>
      </w:pPr>
      <w:r>
        <w:rPr>
          <w:b w:val="false"/>
          <w:bCs w:val="false"/>
          <w:i w:val="false"/>
          <w:iCs w:val="false"/>
          <w:color w:val="404040"/>
        </w:rPr>
        <w:t xml:space="preserve">This is a decisions log, not a final schema. Once Mo has reviewed it and the open questions in Section 9 are resolved, the schema proposals in Section 10 should be folded into a v1.3 of the Identity &amp; Access Architecture (or kept as a ratified companion addendum) before going to CC as a standard read-only audit prompt — same workflow used for the rest of the platform.</w:t>
      </w:r>
    </w:p>
    <w:p>
      <w:pPr>
        <w:pStyle w:val="Heading1"/>
      </w:pPr>
      <w:r>
        <w:t xml:space="preserve">2. Decisions at a Glance</w:t>
      </w:r>
    </w:p>
    <w:p>
      <w:pPr>
        <w:spacing w:after="160"/>
      </w:pPr>
      <w:r>
        <w:rPr>
          <w:b w:val="false"/>
          <w:bCs w:val="false"/>
          <w:i w:val="false"/>
          <w:iCs w:val="false"/>
          <w:color w:val="404040"/>
        </w:rPr>
        <w:t xml:space="preserve">A fast-scan summary. Each row is expanded with full reasoning in Sections 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rPr>
          <w:cantSplit/>
          <w:tblHeader/>
        </w:trPr>
        <w:tc>
          <w:tcPr>
            <w:tcW w:type="dxa" w:w="24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vAlign w:val="top"/>
          </w:tcPr>
          <w:p>
            <w:r>
              <w:rPr>
                <w:b/>
                <w:bCs/>
                <w:color w:val="FFFFFF"/>
                <w:sz w:val="18"/>
                <w:szCs w:val="18"/>
              </w:rPr>
              <w:t xml:space="preserve">Topic</w:t>
            </w:r>
          </w:p>
        </w:tc>
        <w:tc>
          <w:tcPr>
            <w:tcW w:type="dxa" w:w="57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vAlign w:val="top"/>
          </w:tcPr>
          <w:p>
            <w:r>
              <w:rPr>
                <w:b/>
                <w:bCs/>
                <w:color w:val="FFFFFF"/>
                <w:sz w:val="18"/>
                <w:szCs w:val="18"/>
              </w:rPr>
              <w:t xml:space="preserve">Decision</w:t>
            </w:r>
          </w:p>
        </w:tc>
        <w:tc>
          <w:tcPr>
            <w:tcW w:type="dxa" w:w="12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vAlign w:val="top"/>
          </w:tcPr>
          <w:p>
            <w:r>
              <w:rPr>
                <w:b/>
                <w:bCs/>
                <w:color w:val="FFFFFF"/>
                <w:sz w:val="18"/>
                <w:szCs w:val="18"/>
              </w:rPr>
              <w:t xml:space="preserve">Timing</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Provisioning hierarchy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Admins/super-admins create &amp; manage coaches. Coaches create &amp; manage clients, assessments, and reports.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October</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D2C sales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Sold only bundled with a debrief delivered by Cai or Mo (house account). Client choice from a directory of opted-in certified coaches is a future model.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October: house account only. Directory: Phase 2</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D2C visibility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D2C clients appear in the standard coach client-list view, flagged by source rather than walled 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October</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Coach reassignment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Cai and Mo can reassign a client to a different coach.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October (admin-only); client self-select is Phase 2</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Certification → coach role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Manual only, granted by Cai/Mo after assessing demonstrated debrief and interpretation competency. No automated trigger, ever.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October</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Credits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Typed per product (Standard Assessment, Leadership Report, Team Report), not a single flat balance.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October — ledger built for multiple types even though only one is sold at launch</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Credit source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Purchased (lot-based, tied to price paid) and granted (free, e.g. certification bonus) credits are tracked separately.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October</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Cancellation — not started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Coach self-serve cancels; credit restored automatically.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October</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Cancellation — in progress / complete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Requires admin approval before the credit is restored.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October</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D2C refund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Real money, handled as a ThriveCart refund. Manual for October; programmatic API call is a future improvement.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October: manual</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Leadership Report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Additional report generated from an already-completed assessment's existing data — no new questions. Addable at provisioning or after completion.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Future / Phase 2</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Team Report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Requires each member's own completed assessment. Coach-mediated delivery only; versioned re-runs; one bonus re-run included per purchase.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Future / Phase 2</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Manual-send controls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Per-assessment toggle to send the invitation and/or the report automatically, or let the coach send manually. Defaults to current automatic behavior.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Timing TBD</w:t>
            </w:r>
          </w:p>
        </w:tc>
      </w:tr>
    </w:tbl>
    <w:p>
      <w:pPr>
        <w:pStyle w:val="Heading1"/>
      </w:pPr>
      <w:r>
        <w:t xml:space="preserve">3. Coach, Client &amp; D2C Provisioning Model</w:t>
      </w:r>
    </w:p>
    <w:p>
      <w:pPr>
        <w:pStyle w:val="Heading2"/>
      </w:pPr>
      <w:r>
        <w:t xml:space="preserve">3.1 Provisioning hierarchy</w:t>
      </w:r>
    </w:p>
    <w:p>
      <w:pPr>
        <w:spacing w:after="160"/>
      </w:pPr>
      <w:r>
        <w:rPr>
          <w:b w:val="false"/>
          <w:bCs w:val="false"/>
          <w:i w:val="false"/>
          <w:iCs w:val="false"/>
          <w:color w:val="404040"/>
        </w:rPr>
        <w:t xml:space="preserve">The core model holds:</w:t>
      </w:r>
    </w:p>
    <w:p>
      <w:pPr>
        <w:pStyle w:val="ListParagraph"/>
        <w:numPr>
          <w:ilvl w:val="0"/>
          <w:numId w:val="2"/>
        </w:numPr>
        <w:spacing w:after="100"/>
      </w:pPr>
      <w:r>
        <w:rPr>
          <w:color w:val="404040"/>
        </w:rPr>
        <w:t xml:space="preserve">Admins and super-admins create and manage coaches — and can act anywhere in the value chain in a platform-control capacity.</w:t>
      </w:r>
    </w:p>
    <w:p>
      <w:pPr>
        <w:pStyle w:val="ListParagraph"/>
        <w:numPr>
          <w:ilvl w:val="0"/>
          <w:numId w:val="2"/>
        </w:numPr>
        <w:spacing w:after="100"/>
      </w:pPr>
      <w:r>
        <w:rPr>
          <w:color w:val="404040"/>
        </w:rPr>
        <w:t xml:space="preserve">Coaches create and manage their own clients.</w:t>
      </w:r>
    </w:p>
    <w:p>
      <w:pPr>
        <w:pStyle w:val="ListParagraph"/>
        <w:numPr>
          <w:ilvl w:val="0"/>
          <w:numId w:val="2"/>
        </w:numPr>
        <w:spacing w:after="100"/>
      </w:pPr>
      <w:r>
        <w:rPr>
          <w:color w:val="404040"/>
        </w:rPr>
        <w:t xml:space="preserve">Coaches create and manage their clients' assessments and reports.</w:t>
      </w:r>
    </w:p>
    <w:p>
      <w:pPr>
        <w:spacing w:after="160"/>
      </w:pPr>
      <w:r>
        <w:rPr>
          <w:b w:val="false"/>
          <w:bCs w:val="false"/>
          <w:i w:val="false"/>
          <w:iCs w:val="false"/>
          <w:color w:val="404040"/>
        </w:rPr>
        <w:t xml:space="preserve">One piece is still loosely defined rather than assumed: “admins can also manage any part of this value chain” covers two very different things — read-only oversight into every coach's clients and assessments, versus write actions like reassigning a client, regenerating a report on a coach's behalf, or editing assessment data directly. These deserve to be scoped explicitly rather than implied by the admin/super-admin role alone. See Open Question 1.</w:t>
      </w:r>
    </w:p>
    <w:p>
      <w:pPr>
        <w:pStyle w:val="Heading2"/>
      </w:pPr>
      <w:r>
        <w:t xml:space="preserve">3.2 Direct-to-consumer / house account</w:t>
      </w:r>
    </w:p>
    <w:p>
      <w:pPr>
        <w:spacing w:after="160"/>
      </w:pPr>
      <w:r>
        <w:rPr>
          <w:b w:val="false"/>
          <w:bCs w:val="false"/>
          <w:i w:val="false"/>
          <w:iCs w:val="false"/>
          <w:color w:val="404040"/>
        </w:rPr>
        <w:t xml:space="preserve">Hive will sell the InsightOut Enneagram Assessment direct to consumer, but only ever bundled with a debrief delivered by Cai or Mo. This keeps D2C from competing with or undercutting the coach channel — Hive is functionally acting as its own “house” coach for these clients.</w:t>
      </w:r>
    </w:p>
    <w:p>
      <w:pPr>
        <w:pStyle w:val="ListParagraph"/>
        <w:numPr>
          <w:ilvl w:val="0"/>
          <w:numId w:val="2"/>
        </w:numPr>
        <w:spacing w:after="100"/>
      </w:pPr>
      <w:r>
        <w:rPr>
          <w:color w:val="404040"/>
        </w:rPr>
        <w:t xml:space="preserve">D2C clients are flagged with a client_source field (rather than a simple boolean) so the model can accommodate future acquisition channels — partner referral, employer-sponsored, etc. — without another migration.</w:t>
      </w:r>
    </w:p>
    <w:p>
      <w:pPr>
        <w:pStyle w:val="ListParagraph"/>
        <w:numPr>
          <w:ilvl w:val="0"/>
          <w:numId w:val="2"/>
        </w:numPr>
        <w:spacing w:after="100"/>
      </w:pPr>
      <w:r>
        <w:rPr>
          <w:color w:val="404040"/>
        </w:rPr>
        <w:t xml:space="preserve">D2C clients appear in the same client-list view as a coach's own roster, not a separate area — this is also good messaging to coach customers: “Hive helps you get clients.”</w:t>
      </w:r>
    </w:p>
    <w:p>
      <w:pPr>
        <w:pStyle w:val="ListParagraph"/>
        <w:numPr>
          <w:ilvl w:val="0"/>
          <w:numId w:val="2"/>
        </w:numPr>
        <w:spacing w:after="100"/>
      </w:pPr>
      <w:r>
        <w:rPr>
          <w:color w:val="404040"/>
        </w:rPr>
        <w:t xml:space="preserve">Whether the client picks Cai or Mo at purchase, or is assigned/rotated automatically at scheduling, is still being decided (see Open Question 8 from the working conversation — carried into Section 9 below).</w:t>
      </w:r>
    </w:p>
    <w:p>
      <w:pPr>
        <w:pStyle w:val="Heading2"/>
      </w:pPr>
      <w:r>
        <w:t xml:space="preserve">3.3 Coach marketplace &amp; reassignment (Phase 2, designed for now)</w:t>
      </w:r>
    </w:p>
    <w:p>
      <w:pPr>
        <w:spacing w:after="160"/>
      </w:pPr>
      <w:r>
        <w:rPr>
          <w:b w:val="false"/>
          <w:bCs w:val="false"/>
          <w:i w:val="false"/>
          <w:iCs w:val="false"/>
          <w:color w:val="404040"/>
        </w:rPr>
        <w:t xml:space="preserve">Cai and Mo's longer-term idea: list opt-in InsightOut-certified coaches on the Hive website, and let D2C clients choose their debrief coach from that directory — with Cai and Mo able to reassign clients between coaches as needed. This is explicitly Phase 2, but the provisioner being built now should anticipate it:</w:t>
      </w:r>
    </w:p>
    <w:p>
      <w:pPr>
        <w:pStyle w:val="ListParagraph"/>
        <w:numPr>
          <w:ilvl w:val="0"/>
          <w:numId w:val="2"/>
        </w:numPr>
        <w:spacing w:after="100"/>
      </w:pPr>
      <w:r>
        <w:rPr>
          <w:color w:val="404040"/>
        </w:rPr>
        <w:t xml:space="preserve">Coach assignment to an assessment — whoever does it, and whenever it happens — should be one generic mechanism, not hardcoded to “admin picks the coach.” The same code path should work whether the assigner is an admin today or a client choosing from a directory later.</w:t>
      </w:r>
    </w:p>
    <w:p>
      <w:pPr>
        <w:pStyle w:val="ListParagraph"/>
        <w:numPr>
          <w:ilvl w:val="0"/>
          <w:numId w:val="2"/>
        </w:numPr>
        <w:spacing w:after="100"/>
      </w:pPr>
      <w:r>
        <w:rPr>
          <w:color w:val="404040"/>
        </w:rPr>
        <w:t xml:space="preserve">Every assignment and reassignment should be logged with who, when, and from/to whom — the same audit-trail discipline as auth_events in v1.2 — partly so a coach can never reasonably dispute “where did my client go.”</w:t>
      </w:r>
    </w:p>
    <w:p>
      <w:pPr>
        <w:pStyle w:val="ListParagraph"/>
        <w:numPr>
          <w:ilvl w:val="0"/>
          <w:numId w:val="2"/>
        </w:numPr>
        <w:spacing w:after="100"/>
      </w:pPr>
      <w:r>
        <w:rPr>
          <w:color w:val="404040"/>
        </w:rPr>
        <w:t xml:space="preserve">A debrief-coach relationship from the D2C flow is scoped strictly to that one engagement. It does not automatically make that coach the client's ongoing coach. What “ownership” means after that — roster visibility versus full management rights — is still open (Open Question 2). One option worth holding onto: roster visibility and management ownership don't have to be the same flag. A coach could see a client on their roster and deliver a debrief without anything else changing hands unless both sides agree to continue.</w:t>
      </w:r>
    </w:p>
    <w:p>
      <w:pPr>
        <w:pStyle w:val="Heading1"/>
      </w:pPr>
      <w:r>
        <w:t xml:space="preserve">4. Certification Gate</w:t>
      </w:r>
    </w:p>
    <w:p>
      <w:pPr>
        <w:spacing w:after="160"/>
      </w:pPr>
      <w:r>
        <w:rPr>
          <w:b w:val="false"/>
          <w:bCs w:val="false"/>
          <w:i w:val="false"/>
          <w:iCs w:val="false"/>
          <w:color w:val="404040"/>
        </w:rPr>
        <w:t xml:space="preserve">Becoming a coach is two decoupled events, not one: certification completion (a status) and credit purchasing (an ongoing commercial relationship, handled separately in the Coach Portal once certified).</w:t>
      </w:r>
    </w:p>
    <w:p>
      <w:pPr>
        <w:pStyle w:val="ListParagraph"/>
        <w:numPr>
          <w:ilvl w:val="0"/>
          <w:numId w:val="2"/>
        </w:numPr>
        <w:spacing w:after="100"/>
      </w:pPr>
      <w:r>
        <w:rPr>
          <w:color w:val="404040"/>
        </w:rPr>
        <w:t xml:space="preserve">The coach role is granted manually by Cai or Mo, and only manually — there is no automated certification trigger, now or planned. This is a deliberate quality gate: certification requires testing a candidate's ability to properly debrief and interpret a client report using Hive's knowledge and tools, which is a judgment call, not a pass/fail checkbox.</w:t>
      </w:r>
    </w:p>
    <w:p>
      <w:pPr>
        <w:pStyle w:val="ListParagraph"/>
        <w:numPr>
          <w:ilvl w:val="0"/>
          <w:numId w:val="2"/>
        </w:numPr>
        <w:spacing w:after="100"/>
      </w:pPr>
      <w:r>
        <w:rPr>
          <w:color w:val="404040"/>
        </w:rPr>
        <w:t xml:space="preserve">This is reinforced by ICF: Hive intends to offer ICF continuing coach education (CCE) units as part of certification, and ICF requires documented evidence of the certification process — which argues for a dedicated certification record (program version, evaluation outcome, evaluator, date) rather than inferring it from the bare fact that a coach role was granted on a given date. See Section 10.1, certifications table.</w:t>
      </w:r>
    </w:p>
    <w:p>
      <w:pPr>
        <w:pStyle w:val="ListParagraph"/>
        <w:numPr>
          <w:ilvl w:val="0"/>
          <w:numId w:val="2"/>
        </w:numPr>
        <w:spacing w:after="100"/>
      </w:pPr>
      <w:r>
        <w:rPr>
          <w:color w:val="404040"/>
        </w:rPr>
        <w:t xml:space="preserve">Free credits included as part of the certification package are granted, not purchased — this distinction carries forward directly into the refund/cancellation model in Section 6, since a free credit was never paid for and isn't eligible for a cash refund.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00B2D9" w:sz="24"/>
              <w:bottom w:val="single" w:color="CCCCCC" w:sz="4"/>
              <w:right w:val="single" w:color="CCCCCC" w:sz="4"/>
            </w:tcBorders>
            <w:shd w:fill="FBF1E6" w:val="clear"/>
            <w:tcMar>
              <w:top w:type="dxa" w:w="160"/>
              <w:left w:type="dxa" w:w="200"/>
              <w:bottom w:type="dxa" w:w="160"/>
              <w:right w:type="dxa" w:w="200"/>
            </w:tcMar>
          </w:tcPr>
          <w:p>
            <w:pPr>
              <w:spacing w:after="60"/>
            </w:pPr>
            <w:r>
              <w:rPr>
                <w:b/>
                <w:bCs/>
                <w:color w:val="1A2942"/>
              </w:rPr>
              <w:t xml:space="preserve">Still pending:</w:t>
            </w:r>
          </w:p>
          <w:p>
            <w:r>
              <w:rPr>
                <w:color w:val="404040"/>
              </w:rPr>
              <w:t xml:space="preserve">Cai has the documented ICF CCE requirements and will share them — this determines whether certification tracking needs a couple of new fields or a small dedicated table. See Open Question 4.</w:t>
            </w:r>
          </w:p>
        </w:tc>
      </w:tr>
    </w:tbl>
    <w:p>
      <w:pPr>
        <w:pStyle w:val="Heading1"/>
      </w:pPr>
      <w:r>
        <w:t xml:space="preserve">5. Credits &amp; Commerce Model</w:t>
      </w:r>
    </w:p>
    <w:p>
      <w:pPr>
        <w:pStyle w:val="Heading2"/>
      </w:pPr>
      <w:r>
        <w:t xml:space="preserve">5.1 Typed credits, not a flat balance</w:t>
      </w:r>
    </w:p>
    <w:p>
      <w:pPr>
        <w:spacing w:after="160"/>
      </w:pPr>
      <w:r>
        <w:rPr>
          <w:b w:val="false"/>
          <w:bCs w:val="false"/>
          <w:i w:val="false"/>
          <w:iCs w:val="false"/>
          <w:color w:val="404040"/>
        </w:rPr>
        <w:t xml:space="preserve">Because Hive will eventually sell more than one product — the Standard IEA Client Report today, and the Leadership Report and Team Report in the future, each priced differently — a coach's “credits” can't be a single integer balance. The ledger needs to track credit type alongside quantity from day one, even though only one type is sold at October launch. Retrofitting typed credits onto an existing flat balance, once coaches already hold real balances, is exactly the kind of migration worth avoiding.</w:t>
      </w:r>
    </w:p>
    <w:p>
      <w:pPr>
        <w:pStyle w:val="Heading2"/>
      </w:pPr>
      <w:r>
        <w:t xml:space="preserve">5.2 Source matters: purchased vs. granted</w:t>
      </w:r>
    </w:p>
    <w:p>
      <w:pPr>
        <w:spacing w:after="160"/>
      </w:pPr>
      <w:r>
        <w:rPr>
          <w:b w:val="false"/>
          <w:bCs w:val="false"/>
          <w:i w:val="false"/>
          <w:iCs w:val="false"/>
          <w:color w:val="404040"/>
        </w:rPr>
        <w:t xml:space="preserve">Every credit a coach holds is either purchased (tied to a real transaction and a price paid) or granted (free — certification bonus credits, or a future comp grant from an admin). This distinction is what makes the refund/cancellation logic in Section 6 work correctly: only purchased credits carry a price to refund.</w:t>
      </w:r>
    </w:p>
    <w:p>
      <w:pPr>
        <w:pStyle w:val="Heading2"/>
      </w:pPr>
      <w:r>
        <w:t xml:space="preserve">5.3 Lot-based tracking</w:t>
      </w:r>
    </w:p>
    <w:p>
      <w:pPr>
        <w:spacing w:after="160"/>
      </w:pPr>
      <w:r>
        <w:rPr>
          <w:b w:val="false"/>
          <w:bCs w:val="false"/>
          <w:i w:val="false"/>
          <w:iCs w:val="false"/>
          <w:color w:val="404040"/>
        </w:rPr>
        <w:t xml:space="preserve">Rather than one running balance per credit type, each purchase (or grant) is its own record — a “lot” — with its own quantity, price paid, and remaining count. If pricing ever changes (a promo, a discount, a price increase over time), a flat balance can't tell you what a coach is actually owed back on cancellation; a lot-based ledger can, by summing what's left across lots at the price each lot was actually bought at. Given Section 6 already anticipates an approval step for some cancellations, this granularity is what makes “here's exactly what this coach is owed, and why” possible to show an approver.</w:t>
      </w:r>
    </w:p>
    <w:p>
      <w:pPr>
        <w:pStyle w:val="Heading2"/>
      </w:pPr>
      <w:r>
        <w:t xml:space="preserve">5.4 Coach Portal purchasing</w:t>
      </w:r>
    </w:p>
    <w:p>
      <w:pPr>
        <w:spacing w:after="160"/>
      </w:pPr>
      <w:r>
        <w:rPr>
          <w:b w:val="false"/>
          <w:bCs w:val="false"/>
          <w:i w:val="false"/>
          <w:iCs w:val="false"/>
          <w:color w:val="404040"/>
        </w:rPr>
        <w:t xml:space="preserve">Once certified, coaches purchase additional credits through a dedicated Coach Portal — a separate, walled-off experience from the admin site (its own design effort, to be scoped later). Regardless of which surface a purchase happens through, the underlying credit ledger is shared infrastructure; the portal is a front end onto the same accounts and credit_lots tables proposed in Section 10.</w:t>
      </w:r>
    </w:p>
    <w:p>
      <w:pPr>
        <w:pStyle w:val="Heading2"/>
      </w:pPr>
      <w:r>
        <w:t xml:space="preserve">5.5 ThriveCart → Zapier provisioning</w:t>
      </w:r>
    </w:p>
    <w:p>
      <w:pPr>
        <w:spacing w:after="160"/>
      </w:pPr>
      <w:r>
        <w:rPr>
          <w:b w:val="false"/>
          <w:bCs w:val="false"/>
          <w:i w:val="false"/>
          <w:iCs w:val="false"/>
          <w:color w:val="404040"/>
        </w:rPr>
        <w:t xml:space="preserve">The ThriveCart–Zapier coach-provisioning webhook already in the backlog needs to do two distinct jobs going forward, not one: turning a purchase into a coach role grant (as already scoped), and granting typed credits per SKU purchased — the webhook needs to know, for example, that a given SKU equals ten Standard Assessment credits.</w:t>
      </w:r>
    </w:p>
    <w:p>
      <w:pPr>
        <w:pStyle w:val="Heading1"/>
      </w:pPr>
      <w:r>
        <w:t xml:space="preserve">6. Cancellation vs. Refund</w:t>
      </w:r>
    </w:p>
    <w:p>
      <w:pPr>
        <w:spacing w:after="160"/>
      </w:pPr>
      <w:r>
        <w:rPr>
          <w:b w:val="false"/>
          <w:bCs w:val="false"/>
          <w:i w:val="false"/>
          <w:iCs w:val="false"/>
          <w:color w:val="404040"/>
        </w:rPr>
        <w:t xml:space="preserve">These are two different mechanisms that happen to share a word in everyday conversation — worth keeping them terminologically distinct in the spec so they're never conflated in the build.</w:t>
      </w:r>
    </w:p>
    <w:p>
      <w:pPr>
        <w:pStyle w:val="Heading2"/>
      </w:pPr>
      <w:r>
        <w:t xml:space="preserve">6.1 D2C refund — real money</w:t>
      </w:r>
    </w:p>
    <w:p>
      <w:pPr>
        <w:spacing w:after="160"/>
      </w:pPr>
      <w:r>
        <w:rPr>
          <w:b w:val="false"/>
          <w:bCs w:val="false"/>
          <w:i w:val="false"/>
          <w:iCs w:val="false"/>
          <w:color w:val="404040"/>
        </w:rPr>
        <w:t xml:space="preserve">A D2C client wanting money back is a standard ThriveCart refund — no credit ledger involved at all. For October this is a manual, human-processed refund; a programmatic refund API call is a nice-to-have once Hive is at scale. Cai still wants to explore ThriveCart's refund UX before locking in October's behavior (Open Question 5).</w:t>
      </w:r>
    </w:p>
    <w:p>
      <w:pPr>
        <w:pStyle w:val="Heading2"/>
      </w:pPr>
      <w:r>
        <w:t xml:space="preserve">6.2 Coach cancellation — credit restoration, not a refund</w:t>
      </w:r>
    </w:p>
    <w:p>
      <w:pPr>
        <w:spacing w:after="160"/>
      </w:pPr>
      <w:r>
        <w:rPr>
          <w:b w:val="false"/>
          <w:bCs w:val="false"/>
          <w:i w:val="false"/>
          <w:iCs w:val="false"/>
          <w:color w:val="404040"/>
        </w:rPr>
        <w:t xml:space="preserve">A coach asking to cancel a client's assessment isn't asking for money — no payment processor is involved. It's an undo of a provisioning event:</w:t>
      </w:r>
    </w:p>
    <w:p>
      <w:pPr>
        <w:pStyle w:val="ListParagraph"/>
        <w:numPr>
          <w:ilvl w:val="0"/>
          <w:numId w:val="2"/>
        </w:numPr>
        <w:spacing w:after="100"/>
      </w:pPr>
      <w:r>
        <w:rPr>
          <w:color w:val="404040"/>
        </w:rPr>
        <w:t xml:space="preserve">The assessment record and its client-facing link are deactivated.</w:t>
      </w:r>
    </w:p>
    <w:p>
      <w:pPr>
        <w:pStyle w:val="ListParagraph"/>
        <w:numPr>
          <w:ilvl w:val="0"/>
          <w:numId w:val="2"/>
        </w:numPr>
        <w:spacing w:after="100"/>
      </w:pPr>
      <w:r>
        <w:rPr>
          <w:color w:val="404040"/>
        </w:rPr>
        <w:t xml:space="preserve">One unit of the relevant credit type is restored to the coach's balance.</w:t>
      </w:r>
    </w:p>
    <w:p>
      <w:pPr>
        <w:pStyle w:val="ListParagraph"/>
        <w:numPr>
          <w:ilvl w:val="0"/>
          <w:numId w:val="2"/>
        </w:numPr>
        <w:spacing w:after="100"/>
      </w:pPr>
      <w:r>
        <w:rPr>
          <w:color w:val="404040"/>
        </w:rPr>
        <w:t xml:space="preserve">The original provisioning event and the cancellation event are both preserved permanently as an audit trail, for both coach and admin — never deleted, only marked. Same append-only discipline as auth_events in v1.2.</w:t>
      </w:r>
    </w:p>
    <w:p>
      <w:pPr>
        <w:pStyle w:val="Heading2"/>
      </w:pPr>
      <w:r>
        <w:t xml:space="preserve">6.3 Approval gate, tied to assessment status</w:t>
      </w:r>
    </w:p>
    <w:p>
      <w:pPr>
        <w:pStyle w:val="ListParagraph"/>
        <w:numPr>
          <w:ilvl w:val="0"/>
          <w:numId w:val="2"/>
        </w:numPr>
        <w:spacing w:after="100"/>
      </w:pPr>
      <w:r>
        <w:rPr>
          <w:color w:val="404040"/>
        </w:rPr>
        <w:t xml:space="preserve">Not yet started — coach can self-serve cancel; credit restoration is automatic and immediate.</w:t>
      </w:r>
    </w:p>
    <w:p>
      <w:pPr>
        <w:pStyle w:val="ListParagraph"/>
        <w:numPr>
          <w:ilvl w:val="0"/>
          <w:numId w:val="2"/>
        </w:numPr>
        <w:spacing w:after="100"/>
      </w:pPr>
      <w:r>
        <w:rPr>
          <w:color w:val="404040"/>
        </w:rPr>
        <w:t xml:space="preserve">Partially or fully completed — requires admin approval before the credit is restored, since reclaiming a credit for work that was actually done is a more sensitive action than reclaiming one for an assessment nobody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00B2D9" w:sz="24"/>
              <w:bottom w:val="single" w:color="CCCCCC" w:sz="4"/>
              <w:right w:val="single" w:color="CCCCCC" w:sz="4"/>
            </w:tcBorders>
            <w:shd w:fill="FBF1E6" w:val="clear"/>
            <w:tcMar>
              <w:top w:type="dxa" w:w="160"/>
              <w:left w:type="dxa" w:w="200"/>
              <w:bottom w:type="dxa" w:w="160"/>
              <w:right w:type="dxa" w:w="200"/>
            </w:tcMar>
          </w:tcPr>
          <w:p>
            <w:pPr>
              <w:spacing w:after="60"/>
            </w:pPr>
            <w:r>
              <w:rPr>
                <w:b/>
                <w:bCs/>
                <w:color w:val="1A2942"/>
              </w:rPr>
              <w:t xml:space="preserve">Still pending:</w:t>
            </w:r>
          </w:p>
          <w:p>
            <w:r>
              <w:rPr>
                <w:color w:val="404040"/>
              </w:rPr>
              <w:t xml:space="preserve">Whether October needs any kind of pending-approval queue inside the admin panel — even just a calculated amount for a human to act on — or whether approval is handled entirely outside the system until the workflow is built properly. See Open Question 6.</w:t>
            </w:r>
          </w:p>
        </w:tc>
      </w:tr>
    </w:tbl>
    <w:p>
      <w:pPr>
        <w:pStyle w:val="Heading1"/>
      </w:pPr>
      <w:r>
        <w:t xml:space="preserve">7. New Report Types (Future)</w:t>
      </w:r>
    </w:p>
    <w:p>
      <w:pPr>
        <w:spacing w:after="160"/>
      </w:pPr>
      <w:r>
        <w:rPr>
          <w:b w:val="false"/>
          <w:bCs w:val="false"/>
          <w:i w:val="false"/>
          <w:iCs w:val="false"/>
          <w:color w:val="404040"/>
        </w:rPr>
        <w:t xml:space="preserve">At October launch there is one assessment and one report type (client and coach report). Two additional report products are planned for later, each priced separately from the Standard IEA Client Report — with no price differentiation by Enhanced Mode or which AI model generated the analysis.</w:t>
      </w:r>
    </w:p>
    <w:p>
      <w:pPr>
        <w:pStyle w:val="Heading2"/>
      </w:pPr>
      <w:r>
        <w:t xml:space="preserve">7.1 Leadership Report</w:t>
      </w:r>
    </w:p>
    <w:p>
      <w:pPr>
        <w:spacing w:after="160"/>
      </w:pPr>
      <w:r>
        <w:rPr>
          <w:b w:val="false"/>
          <w:bCs w:val="false"/>
          <w:i w:val="false"/>
          <w:iCs w:val="false"/>
          <w:color w:val="404040"/>
        </w:rPr>
        <w:t xml:space="preserve">The InsightOut Leadership Report overlays Hive's Connection-Centered Leadership model on a client's existing typing analysis.</w:t>
      </w:r>
    </w:p>
    <w:p>
      <w:pPr>
        <w:pStyle w:val="ListParagraph"/>
        <w:numPr>
          <w:ilvl w:val="0"/>
          <w:numId w:val="2"/>
        </w:numPr>
        <w:spacing w:after="100"/>
      </w:pPr>
      <w:r>
        <w:rPr>
          <w:color w:val="404040"/>
        </w:rPr>
        <w:t xml:space="preserve">It is an additional report generated from an already-completed assessment's existing answer data — no new questions are asked of the client.</w:t>
      </w:r>
    </w:p>
    <w:p>
      <w:pPr>
        <w:pStyle w:val="ListParagraph"/>
        <w:numPr>
          <w:ilvl w:val="0"/>
          <w:numId w:val="2"/>
        </w:numPr>
        <w:spacing w:after="100"/>
      </w:pPr>
      <w:r>
        <w:rPr>
          <w:color w:val="404040"/>
        </w:rPr>
        <w:t xml:space="preserve">A coach can select it as a checkbox option at the original provisioning step, or add it after the fact, even after the original client report has already been delivered — supporting upsell on already-completed assessments.</w:t>
      </w:r>
    </w:p>
    <w:p>
      <w:pPr>
        <w:pStyle w:val="ListParagraph"/>
        <w:numPr>
          <w:ilvl w:val="0"/>
          <w:numId w:val="2"/>
        </w:numPr>
        <w:spacing w:after="100"/>
      </w:pPr>
      <w:r>
        <w:rPr>
          <w:color w:val="404040"/>
        </w:rPr>
        <w:t xml:space="preserve">Each add consumes its own credit at the moment it's added, separate from whatever credit covered the original assessment.</w:t>
      </w:r>
    </w:p>
    <w:p>
      <w:pPr>
        <w:pStyle w:val="ListParagraph"/>
        <w:numPr>
          <w:ilvl w:val="0"/>
          <w:numId w:val="2"/>
        </w:numPr>
        <w:spacing w:after="100"/>
      </w:pPr>
      <w:r>
        <w:rPr>
          <w:color w:val="404040"/>
        </w:rPr>
        <w:t xml:space="preserve">When added after the original report's delivery, the client is not notified automatically — the coach controls if and when the client learns a new report exists, consistent with the manual-send philosophy in Section 8.</w:t>
      </w:r>
    </w:p>
    <w:p>
      <w:pPr>
        <w:pStyle w:val="Heading2"/>
      </w:pPr>
      <w:r>
        <w:t xml:space="preserve">7.2 Team Report</w:t>
      </w:r>
    </w:p>
    <w:p>
      <w:pPr>
        <w:spacing w:after="160"/>
      </w:pPr>
      <w:r>
        <w:rPr>
          <w:b w:val="false"/>
          <w:bCs w:val="false"/>
          <w:i w:val="false"/>
          <w:iCs w:val="false"/>
          <w:color w:val="404040"/>
        </w:rPr>
        <w:t xml:space="preserve">The Team Report aggregates several already-completed individual assessments from people on the same team or organization into one analysis of their collective strengths, opportunities, and challenges working together.</w:t>
      </w:r>
    </w:p>
    <w:p>
      <w:pPr>
        <w:pStyle w:val="ListParagraph"/>
        <w:numPr>
          <w:ilvl w:val="0"/>
          <w:numId w:val="2"/>
        </w:numPr>
        <w:spacing w:after="100"/>
      </w:pPr>
      <w:r>
        <w:rPr>
          <w:color w:val="404040"/>
        </w:rPr>
        <w:t xml:space="preserve">Every team member needs their own completed individual assessment first — the Team Report never substitutes for an individual assessment, only builds on top of completed ones.</w:t>
      </w:r>
    </w:p>
    <w:p>
      <w:pPr>
        <w:pStyle w:val="ListParagraph"/>
        <w:numPr>
          <w:ilvl w:val="0"/>
          <w:numId w:val="2"/>
        </w:numPr>
        <w:spacing w:after="100"/>
      </w:pPr>
      <w:r>
        <w:rPr>
          <w:color w:val="404040"/>
        </w:rPr>
        <w:t xml:space="preserve">Two provisioning paths lead to the same place: (1) a bundled SKU that sells N individual assessment credits plus the team analysis as one package, or (2) a coach aggregating clients from the same organization who already completed their assessments independently, possibly before the team grouping was even decided.</w:t>
      </w:r>
    </w:p>
    <w:p>
      <w:pPr>
        <w:pStyle w:val="ListParagraph"/>
        <w:numPr>
          <w:ilvl w:val="0"/>
          <w:numId w:val="2"/>
        </w:numPr>
        <w:spacing w:after="100"/>
      </w:pPr>
      <w:r>
        <w:rPr>
          <w:color w:val="404040"/>
        </w:rPr>
        <w:t xml:space="preserve">A coach can add additional clients to an existing team roster at any time and re-run the analysis.</w:t>
      </w:r>
    </w:p>
    <w:p>
      <w:pPr>
        <w:pStyle w:val="ListParagraph"/>
        <w:numPr>
          <w:ilvl w:val="0"/>
          <w:numId w:val="2"/>
        </w:numPr>
        <w:spacing w:after="100"/>
      </w:pPr>
      <w:r>
        <w:rPr>
          <w:color w:val="404040"/>
        </w:rPr>
        <w:t xml:space="preserve">Each re-run consumes a Team Report credit. The original Team Report purchase includes one bonus re-run at no extra cost — a one-time entitlement tracked on that specific purchase, not a fungible addition to the general credit ledger.</w:t>
      </w:r>
    </w:p>
    <w:p>
      <w:pPr>
        <w:pStyle w:val="ListParagraph"/>
        <w:numPr>
          <w:ilvl w:val="0"/>
          <w:numId w:val="2"/>
        </w:numPr>
        <w:spacing w:after="100"/>
      </w:pPr>
      <w:r>
        <w:rPr>
          <w:color w:val="404040"/>
        </w:rPr>
        <w:t xml:space="preserve">No individual client consent is required to be included in the aggregation — that's handled by the coach's own proposal and scope-of-work agreement with their client(s), not something Hive's system needs to track or enforce.</w:t>
      </w:r>
    </w:p>
    <w:p>
      <w:pPr>
        <w:pStyle w:val="ListParagraph"/>
        <w:numPr>
          <w:ilvl w:val="0"/>
          <w:numId w:val="2"/>
        </w:numPr>
        <w:spacing w:after="100"/>
      </w:pPr>
      <w:r>
        <w:rPr>
          <w:color w:val="404040"/>
        </w:rPr>
        <w:t xml:space="preserve">Delivery is coach-mediated only, by design, with no auto-send option at all — unlike the Client Report or Leadership Report, this isn't a toggle that defaults one way. The coach sends the latest version to the team leader, debriefs it with them first, and the coach and leader then jointly decide what — if anything — gets shared with the rest of the team. Hive's responsibility ends at delivery to the coach and team leader; anything past that is outside the system.</w:t>
      </w:r>
    </w:p>
    <w:p>
      <w:pPr>
        <w:pStyle w:val="ListParagraph"/>
        <w:numPr>
          <w:ilvl w:val="0"/>
          <w:numId w:val="2"/>
        </w:numPr>
        <w:spacing w:after="100"/>
      </w:pPr>
      <w:r>
        <w:rPr>
          <w:color w:val="404040"/>
        </w:rPr>
        <w:t xml:space="preserve">Each re-run produces a new, separately versioned report. Full version history is retained for the coach (and for Cai/Mo); a client only ever sees the single version the coach explicitly chooses to share, never the full history.</w:t>
      </w:r>
    </w:p>
    <w:p>
      <w:pPr>
        <w:pStyle w:val="ListParagraph"/>
        <w:numPr>
          <w:ilvl w:val="0"/>
          <w:numId w:val="2"/>
        </w:numPr>
        <w:spacing w:after="100"/>
      </w:pPr>
      <w:r>
        <w:rPr>
          <w:color w:val="404040"/>
        </w:rPr>
        <w:t xml:space="preserve">This requires a new grouping concept — a team or cohort — that's simply a roster of clients, decoupled from how any individual member's assessment was paid for, with one member flagged as the designated leader and recipient of the report.</w:t>
      </w:r>
    </w:p>
    <w:p>
      <w:pPr>
        <w:pStyle w:val="Heading1"/>
      </w:pPr>
      <w:r>
        <w:t xml:space="preserve">8. Manual-Send Controls</w:t>
      </w:r>
    </w:p>
    <w:p>
      <w:pPr>
        <w:spacing w:after="160"/>
      </w:pPr>
      <w:r>
        <w:rPr>
          <w:b w:val="false"/>
          <w:bCs w:val="false"/>
          <w:i w:val="false"/>
          <w:iCs w:val="false"/>
          <w:color w:val="404040"/>
        </w:rPr>
        <w:t xml:space="preserve">Currently, in alpha/beta, both the assessment invitation and the completed client report are sent automatically. Two independent, optional toggles are wanted at provisioning time, each defaulting to the current automatic behavior so nothing changes for existing flows unless a coach opts out:</w:t>
      </w:r>
    </w:p>
    <w:p>
      <w:pPr>
        <w:pStyle w:val="ListParagraph"/>
        <w:numPr>
          <w:ilvl w:val="0"/>
          <w:numId w:val="2"/>
        </w:numPr>
        <w:spacing w:after="100"/>
      </w:pPr>
      <w:r>
        <w:rPr>
          <w:color w:val="404040"/>
        </w:rPr>
        <w:t xml:space="preserve">Assessment invitation: send the Begin Assessment link automatically, or let the coach send it manually.</w:t>
      </w:r>
    </w:p>
    <w:p>
      <w:pPr>
        <w:pStyle w:val="ListParagraph"/>
        <w:numPr>
          <w:ilvl w:val="0"/>
          <w:numId w:val="2"/>
        </w:numPr>
        <w:spacing w:after="100"/>
      </w:pPr>
      <w:r>
        <w:rPr>
          <w:color w:val="404040"/>
        </w:rPr>
        <w:t xml:space="preserve">Client report: send the completed report to the client automatically on generation, or let the coach send it manually.</w:t>
      </w:r>
    </w:p>
    <w:p>
      <w:pPr>
        <w:spacing w:after="160"/>
      </w:pPr>
      <w:r>
        <w:rPr>
          <w:b w:val="false"/>
          <w:bCs w:val="false"/>
          <w:i w:val="false"/>
          <w:iCs w:val="false"/>
          <w:color w:val="404040"/>
        </w:rPr>
        <w:t xml:space="preserve">This same pattern — coach controls if and when the client is notified — extends naturally to add-on reports (Leadership Report) added after the fact, per Section 7.1. The one place it doesn't apply is the Team Report, which per Section 7.2 is never auto-sent under any setting; that's a fixed behavior of the report type, not a toggle.</w:t>
      </w:r>
    </w:p>
    <w:p>
      <w:pPr>
        <w:pStyle w:val="Heading1"/>
      </w:pPr>
      <w:r>
        <w:t xml:space="preserve">9. Open Questions</w:t>
      </w:r>
    </w:p>
    <w:p>
      <w:pPr>
        <w:spacing w:after="160"/>
      </w:pPr>
      <w:r>
        <w:rPr>
          <w:b w:val="false"/>
          <w:bCs w:val="false"/>
          <w:i w:val="false"/>
          <w:iCs w:val="false"/>
          <w:color w:val="404040"/>
        </w:rPr>
        <w:t xml:space="preserve">Carried forward from the working conversation. Numbered for easy reference when these get revisited.</w:t>
      </w:r>
    </w:p>
    <w:p>
      <w:pPr>
        <w:spacing w:after="140"/>
      </w:pPr>
      <w:r>
        <w:rPr>
          <w:b/>
          <w:bCs/>
          <w:color w:val="F68625"/>
        </w:rPr>
        <w:t xml:space="preserve">1.  </w:t>
      </w:r>
      <w:r>
        <w:rPr>
          <w:color w:val="404040"/>
        </w:rPr>
        <w:t xml:space="preserve">Admin's “manage any part of the value chain” needs explicit scoping — read-only oversight into every coach's clients and assessments, versus write actions like reassigning a client, regenerating a report on a coach's behalf, or editing assessment data directly. These likely warrant distinct, named permissions rather than being assumed from the admin/super-admin role alone.</w:t>
      </w:r>
    </w:p>
    <w:p>
      <w:pPr>
        <w:spacing w:after="140"/>
      </w:pPr>
      <w:r>
        <w:rPr>
          <w:b/>
          <w:bCs/>
          <w:color w:val="F68625"/>
        </w:rPr>
        <w:t xml:space="preserve">2.  </w:t>
      </w:r>
      <w:r>
        <w:rPr>
          <w:color w:val="404040"/>
        </w:rPr>
        <w:t xml:space="preserve">What “ownership” of a client means after a coach delivers a one-off D2C debrief — roster visibility only, versus full ongoing management rights. Cai is still sitting with this one.</w:t>
      </w:r>
    </w:p>
    <w:p>
      <w:pPr>
        <w:spacing w:after="140"/>
      </w:pPr>
      <w:r>
        <w:rPr>
          <w:b/>
          <w:bCs/>
          <w:color w:val="F68625"/>
        </w:rPr>
        <w:t xml:space="preserve">3.  </w:t>
      </w:r>
      <w:r>
        <w:rPr>
          <w:color w:val="404040"/>
        </w:rPr>
        <w:t xml:space="preserve">Coach marketplace UI/UX and the opt-in mechanism itself — explicitly Phase 2, but the provisioner being built now should keep the assignment mechanism generic enough that the marketplace slots in later without rework (Section 3.3).</w:t>
      </w:r>
    </w:p>
    <w:p>
      <w:pPr>
        <w:spacing w:after="140"/>
      </w:pPr>
      <w:r>
        <w:rPr>
          <w:b/>
          <w:bCs/>
          <w:color w:val="F68625"/>
        </w:rPr>
        <w:t xml:space="preserve">4.  </w:t>
      </w:r>
      <w:r>
        <w:rPr>
          <w:color w:val="404040"/>
        </w:rPr>
        <w:t xml:space="preserve">Exact ICF CCE record-keeping requirements — Cai already has this documentation and will share it; it determines whether the certifications table in Section 10.1 needs only a couple of fields or a more detailed structure.</w:t>
      </w:r>
    </w:p>
    <w:p>
      <w:pPr>
        <w:spacing w:after="140"/>
      </w:pPr>
      <w:r>
        <w:rPr>
          <w:b/>
          <w:bCs/>
          <w:color w:val="F68625"/>
        </w:rPr>
        <w:t xml:space="preserve">5.  </w:t>
      </w:r>
      <w:r>
        <w:rPr>
          <w:color w:val="404040"/>
        </w:rPr>
        <w:t xml:space="preserve">ThriveCart's refund UX needs to be explored before Cai commits to October's D2C refund behavior — manual today, but the eventual shape of “programmatic” depends on what ThriveCart actually supports.</w:t>
      </w:r>
    </w:p>
    <w:p>
      <w:pPr>
        <w:spacing w:after="140"/>
      </w:pPr>
      <w:r>
        <w:rPr>
          <w:b/>
          <w:bCs/>
          <w:color w:val="F68625"/>
        </w:rPr>
        <w:t xml:space="preserve">6.  </w:t>
      </w:r>
      <w:r>
        <w:rPr>
          <w:color w:val="404040"/>
        </w:rPr>
        <w:t xml:space="preserve">Whether October needs any kind of pending-approval or cancellation queue inside the admin panel for coach credit restorations, or whether that approval happens entirely outside the system (Slack, email) until the workflow is properly built.</w:t>
      </w:r>
    </w:p>
    <w:p>
      <w:pPr>
        <w:spacing w:after="140"/>
      </w:pPr>
      <w:r>
        <w:rPr>
          <w:b/>
          <w:bCs/>
          <w:color w:val="F68625"/>
        </w:rPr>
        <w:t xml:space="preserve">7.  </w:t>
      </w:r>
      <w:r>
        <w:rPr>
          <w:color w:val="404040"/>
        </w:rPr>
        <w:t xml:space="preserve">Timing for the manual-send controls in Section 8 — not yet placed on the October launch list or the backlog explicitly.</w:t>
      </w:r>
    </w:p>
    <w:p>
      <w:pPr>
        <w:pStyle w:val="Heading1"/>
      </w:pPr>
      <w:r>
        <w:t xml:space="preserve">10. Proposed Changes to the Identity &amp; Access Architecture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00B2D9" w:sz="24"/>
              <w:bottom w:val="single" w:color="CCCCCC" w:sz="4"/>
              <w:right w:val="single" w:color="CCCCCC" w:sz="4"/>
            </w:tcBorders>
            <w:shd w:fill="FBF1E6" w:val="clear"/>
            <w:tcMar>
              <w:top w:type="dxa" w:w="160"/>
              <w:left w:type="dxa" w:w="200"/>
              <w:bottom w:type="dxa" w:w="160"/>
              <w:right w:type="dxa" w:w="200"/>
            </w:tcMar>
          </w:tcPr>
          <w:p>
            <w:pPr>
              <w:spacing w:after="60"/>
            </w:pPr>
            <w:r>
              <w:rPr>
                <w:b/>
                <w:bCs/>
                <w:color w:val="1A2942"/>
              </w:rPr>
              <w:t xml:space="preserve">Scope note:</w:t>
            </w:r>
          </w:p>
          <w:p>
            <w:r>
              <w:rPr>
                <w:color w:val="404040"/>
              </w:rPr>
              <w:t xml:space="preserve">Everything below is additive. Nothing here revises a decision already ratified in v1.2 — the users / roles / user_roles model, progressive suspension, or the coaches and clients domain tables are untouched. If ratified, these proposals should be folded into a v1.3 of the Identity &amp; Access Architecture (or kept as a companion addendum) before being handed to CC as a standard read-only audit prompt.</w:t>
            </w:r>
          </w:p>
        </w:tc>
      </w:tr>
    </w:tbl>
    <w:p>
      <w:pPr>
        <w:spacing w:after="120"/>
      </w:pPr>
    </w:p>
    <w:p>
      <w:pPr>
        <w:pStyle w:val="Heading2"/>
      </w:pPr>
      <w:r>
        <w:t xml:space="preserve">10.1 New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700"/>
        <w:gridCol w:w="2960"/>
      </w:tblGrid>
      <w:tr>
        <w:trPr>
          <w:cantSplit/>
          <w:tblHeader/>
        </w:trPr>
        <w:tc>
          <w:tcPr>
            <w:tcW w:type="dxa" w:w="17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vAlign w:val="top"/>
          </w:tcPr>
          <w:p>
            <w:r>
              <w:rPr>
                <w:b/>
                <w:bCs/>
                <w:color w:val="FFFFFF"/>
                <w:sz w:val="18"/>
                <w:szCs w:val="18"/>
              </w:rPr>
              <w:t xml:space="preserve">Table</w:t>
            </w:r>
          </w:p>
        </w:tc>
        <w:tc>
          <w:tcPr>
            <w:tcW w:type="dxa" w:w="47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vAlign w:val="top"/>
          </w:tcPr>
          <w:p>
            <w:r>
              <w:rPr>
                <w:b/>
                <w:bCs/>
                <w:color w:val="FFFFFF"/>
                <w:sz w:val="18"/>
                <w:szCs w:val="18"/>
              </w:rPr>
              <w:t xml:space="preserve">Purpose</w:t>
            </w:r>
          </w:p>
        </w:tc>
        <w:tc>
          <w:tcPr>
            <w:tcW w:type="dxa" w:w="29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vAlign w:val="top"/>
          </w:tcPr>
          <w:p>
            <w:r>
              <w:rPr>
                <w:b/>
                <w:bCs/>
                <w:color w:val="FFFFFF"/>
                <w:sz w:val="18"/>
                <w:szCs w:val="18"/>
              </w:rPr>
              <w:t xml:space="preserve">Key columns</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accounts</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Billing account abstraction. 1:1 with a coach today; modeled so a future practice with multiple pooled coaches doesn't require a migration — the same anticipatory move as the OAuth columns in v1.2 §2.7.</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id, coach_id (FK→coaches, nullable for the house account), account_type ('coach' | 'house'), created_at</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credit_types</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Static reference table, same pattern as roles in v1.2 §3.2.</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id, name (standard_assessment, leadership_report, team_report), description</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credit_lots</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Lot-based credit tracking per Section 5.3 — not a flat balance.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id, account_id, credit_type_id, quantity, quantity_remaining, source ('purchased'|'granted'), price_paid_cents (nullable), purchase_reference, created_at</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credit_transactions</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Append-only audit log of every credit event, mirroring the auth_events pattern in v1.2 §3.4.</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id, account_id, credit_type_id, lot_id, event_type (consumed | restored | granted), quantity, assessment_id (nullable), created_by, created_at, notes</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certifications</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Dedicated certification record, separate from the coach role grant — supports ICF CCE audit requirements (Section 4).</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id, user_id, program_version, completion_date, evaluator_id, debrief_evaluation_outcome, icf_cce_units, notes, created_at</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teams</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A roster of clients grouped for a Team Report, decoupled from billing (Section 7.2).</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id, name, organization, leader_client_id, created_by_coach_id, created_at</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team_members</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Join table — team roster, independent of how each member's assessment was paid for.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team_id, client_id, added_at</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team_reports</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Versioned Team Report records — each re-run is a new row, not an overwrite.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id, team_id, version_number, status, generated_at, pdf_path, bonus_rerun_used, credit_transaction_id (nullable)</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assignment_events</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Append-only audit trail for coach assignment and reassignment (v1.2 didn't anticipate clients moving between coaches).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id, client_id, previous_coach_id, new_coach_id, assigned_by, reason, created_at</w:t>
            </w:r>
          </w:p>
        </w:tc>
      </w:tr>
    </w:tbl>
    <w:p>
      <w:pPr>
        <w:spacing w:after="160"/>
      </w:pPr>
    </w:p>
    <w:p>
      <w:pPr>
        <w:pStyle w:val="Heading2"/>
      </w:pPr>
      <w:r>
        <w:t xml:space="preserve">10.2 Changes to existing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500"/>
        <w:gridCol w:w="2260"/>
      </w:tblGrid>
      <w:tr>
        <w:trPr>
          <w:cantSplit/>
          <w:tblHeader/>
        </w:trPr>
        <w:tc>
          <w:tcPr>
            <w:tcW w:type="dxa" w:w="16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vAlign w:val="top"/>
          </w:tcPr>
          <w:p>
            <w:r>
              <w:rPr>
                <w:b/>
                <w:bCs/>
                <w:color w:val="FFFFFF"/>
                <w:sz w:val="18"/>
                <w:szCs w:val="18"/>
              </w:rPr>
              <w:t xml:space="preserve">Table</w:t>
            </w:r>
          </w:p>
        </w:tc>
        <w:tc>
          <w:tcPr>
            <w:tcW w:type="dxa" w:w="55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vAlign w:val="top"/>
          </w:tcPr>
          <w:p>
            <w:r>
              <w:rPr>
                <w:b/>
                <w:bCs/>
                <w:color w:val="FFFFFF"/>
                <w:sz w:val="18"/>
                <w:szCs w:val="18"/>
              </w:rPr>
              <w:t xml:space="preserve">Change</w:t>
            </w:r>
          </w:p>
        </w:tc>
        <w:tc>
          <w:tcPr>
            <w:tcW w:type="dxa" w:w="22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vAlign w:val="top"/>
          </w:tcPr>
          <w:p>
            <w:r>
              <w:rPr>
                <w:b/>
                <w:bCs/>
                <w:color w:val="FFFFFF"/>
                <w:sz w:val="18"/>
                <w:szCs w:val="18"/>
              </w:rPr>
              <w:t xml:space="preserve">Why</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clients</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Add client_source (e.g. 'coach_provisioned', 'd2c'). Add auto_send_invitation BOOLEAN DEFAULT TRUE.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Section 3.2 — flag D2C without a boolean that can't accommodate future channels. Section 8 — invitation send control.</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assessments</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Add cancelled_at, cancellation_reason, credit_restored_at. Add auto_send_report BOOLEAN DEFAULT TRUE. Add requested_report_types (JSONB or join) for the Leadership/Team checkbox selection at provisioning.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Section 6 — cancellation audit trail. Section 8 — report send control. Section 7 — report type selection.</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reports</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Extend report_type beyond client | coach to include leadership and team. Add version_number and parent_report_id for Team Report versioning. Add team_id (nullable FK).</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Section 7 — new report products and versioned re-runs.</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coaches</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No changes recommended yet. Marketplace fields (opt-in flag, bio, specialties) should live in a separate coach_profiles table when the marketplace is actually built in Phase 2, keeping coaches a pure domain table per v1.2 §2.5 rather than adding speculative columns now.</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404040"/>
                <w:sz w:val="18"/>
                <w:szCs w:val="18"/>
              </w:rPr>
              <w:t xml:space="preserve">Avoids adding Phase 2 columns to a table v1.2 deliberately kept lean.</w:t>
            </w:r>
          </w:p>
        </w:tc>
      </w:tr>
    </w:tbl>
    <w:p>
      <w:pPr>
        <w:spacing w:after="160"/>
      </w:pPr>
    </w:p>
    <w:p>
      <w:pPr>
        <w:pStyle w:val="Heading2"/>
      </w:pPr>
      <w:r>
        <w:t xml:space="preserve">10.3 Role / permission scoping note</w:t>
      </w:r>
    </w:p>
    <w:p>
      <w:pPr>
        <w:spacing w:after="160"/>
      </w:pPr>
      <w:r>
        <w:rPr>
          <w:b w:val="false"/>
          <w:bCs w:val="false"/>
          <w:i w:val="false"/>
          <w:iCs w:val="false"/>
          <w:color w:val="404040"/>
        </w:rPr>
        <w:t xml:space="preserve">v1.2 §2.2 defines admin as “coach plus content editing, coach provisioning, dashboard access.” Open Question 1 suggests the existing four-role model may need a finer-grained permission layer for specific write actions — reassigning a client, approving a credit restoration — rather than treating every admin action as implied by the role alone. No schema change is proposed yet; this is flagged for resolution alongside Open Question 1, and would likely extend the existing roles / user_roles model rather than replace it.</w:t>
      </w:r>
    </w:p>
    <w:p>
      <w:pPr>
        <w:pStyle w:val="Heading1"/>
      </w:pPr>
      <w:r>
        <w:t xml:space="preserve">11. Next Steps</w:t>
      </w:r>
    </w:p>
    <w:p>
      <w:pPr>
        <w:pStyle w:val="ListParagraph"/>
        <w:numPr>
          <w:ilvl w:val="0"/>
          <w:numId w:val="3"/>
        </w:numPr>
        <w:spacing w:after="100"/>
      </w:pPr>
      <w:r>
        <w:rPr>
          <w:color w:val="404040"/>
        </w:rPr>
        <w:t xml:space="preserve">Cai shares the ICF CCE documentation requirements (Open Question 4).</w:t>
      </w:r>
    </w:p>
    <w:p>
      <w:pPr>
        <w:pStyle w:val="ListParagraph"/>
        <w:numPr>
          <w:ilvl w:val="0"/>
          <w:numId w:val="3"/>
        </w:numPr>
        <w:spacing w:after="100"/>
      </w:pPr>
      <w:r>
        <w:rPr>
          <w:color w:val="404040"/>
        </w:rPr>
        <w:t xml:space="preserve">Cai and Mo resolve the open questions in Section 9 — particularly 1, 2, and 5, since they affect how the schema in Section 10 gets scoped.</w:t>
      </w:r>
    </w:p>
    <w:p>
      <w:pPr>
        <w:pStyle w:val="ListParagraph"/>
        <w:numPr>
          <w:ilvl w:val="0"/>
          <w:numId w:val="3"/>
        </w:numPr>
        <w:spacing w:after="100"/>
      </w:pPr>
      <w:r>
        <w:rPr>
          <w:color w:val="404040"/>
        </w:rPr>
        <w:t xml:space="preserve">Once resolved, fold the Section 10 schema proposals into Identity &amp; Access Architecture v1.3 (or a ratified companion addendum).</w:t>
      </w:r>
    </w:p>
    <w:p>
      <w:pPr>
        <w:pStyle w:val="ListParagraph"/>
        <w:numPr>
          <w:ilvl w:val="0"/>
          <w:numId w:val="3"/>
        </w:numPr>
        <w:spacing w:after="100"/>
      </w:pPr>
      <w:r>
        <w:rPr>
          <w:color w:val="404040"/>
        </w:rPr>
        <w:t xml:space="preserve">From there, the standard workflow applies: Claude Chat writes a read-only audit prompt → Cai pastes into CC → CC reports findings → joint build prompt → feature branch → Cai reviews diff → merge.</w:t>
      </w:r>
    </w:p>
    <w:p>
      <w:pPr>
        <w:spacing w:after="200"/>
      </w:pPr>
    </w:p>
    <w:p>
      <w:pPr>
        <w:pBdr>
          <w:bottom w:val="single" w:color="00B2D9" w:sz="6" w:space="1"/>
        </w:pBdr>
        <w:spacing w:after="240" w:before="120"/>
      </w:pPr>
    </w:p>
    <w:p>
      <w:pPr>
        <w:jc w:val="center"/>
      </w:pPr>
      <w:r>
        <w:rPr>
          <w:i/>
          <w:iCs/>
          <w:color w:val="6E6E6E"/>
          <w:sz w:val="18"/>
          <w:szCs w:val="18"/>
        </w:rPr>
        <w:t xml:space="preserve">End of Document — v1.0</w:t>
      </w:r>
    </w:p>
    <w:p>
      <w:pPr>
        <w:jc w:val="center"/>
      </w:pPr>
      <w:r>
        <w:rPr>
          <w:color w:val="6E6E6E"/>
          <w:sz w:val="16"/>
          <w:szCs w:val="16"/>
        </w:rPr>
        <w:t xml:space="preserve">InsightOut — SaaS Provisioning &amp; Commerce Architecture v1.0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E6E6E"/>
        <w:sz w:val="16"/>
        <w:szCs w:val="16"/>
      </w:rPr>
      <w:t xml:space="preserve">Confidential — Draft for Mo's review</w:t>
    </w:r>
    <w:r>
      <w:rPr>
        <w:color w:val="6E6E6E"/>
        <w:sz w:val="16"/>
        <w:szCs w:val="16"/>
      </w:rPr>
      <w:t xml:space="preserve">	Page </w:t>
    </w:r>
    <w:r>
      <w:rPr>
        <w:color w:val="6E6E6E"/>
        <w:sz w:val="16"/>
        <w:szCs w:val="16"/>
      </w:rPr>
      <w:fldChar w:fldCharType="begin"/>
      <w:instrText xml:space="preserve">PAGE</w:instrText>
      <w:fldChar w:fldCharType="separate"/>
      <w:fldChar w:fldCharType="end"/>
    </w:r>
    <w:r>
      <w:rPr>
        <w:color w:val="6E6E6E"/>
        <w:sz w:val="16"/>
        <w:szCs w:val="16"/>
      </w:rPr>
      <w:t xml:space="preserve"> of </w:t>
    </w:r>
    <w:r>
      <w:rPr>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6E6E6E"/>
        <w:sz w:val="16"/>
        <w:szCs w:val="16"/>
      </w:rPr>
      <w:t xml:space="preserve">HIVE, INC. — InsightOut Platform</w:t>
    </w:r>
    <w:r>
      <w:rPr>
        <w:color w:val="6E6E6E"/>
        <w:sz w:val="16"/>
        <w:szCs w:val="16"/>
      </w:rPr>
      <w:t xml:space="preserve">	SaaS Provisioning &amp; Commerce Architecture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B2D9" w:sz="4" w:space="4"/>
      </w:pBdr>
      <w:spacing w:after="200" w:before="360"/>
      <w:outlineLvl w:val="0"/>
    </w:pPr>
    <w:rPr>
      <w:rFonts w:ascii="Arial" w:cs="Arial" w:eastAsia="Arial" w:hAnsi="Arial"/>
      <w:b/>
      <w:bCs/>
      <w:color w:val="1A2942"/>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1A2942"/>
      <w:sz w:val="25"/>
      <w:szCs w:val="25"/>
    </w:rPr>
  </w:style>
  <w:style w:type="paragraph" w:styleId="Heading3">
    <w:name w:val="Heading 3"/>
    <w:basedOn w:val="Normal"/>
    <w:next w:val="Normal"/>
    <w:qFormat/>
    <w:pPr>
      <w:spacing w:after="100" w:before="220"/>
      <w:outlineLvl w:val="2"/>
    </w:pPr>
    <w:rPr>
      <w:rFonts w:ascii="Arial" w:cs="Arial" w:eastAsia="Arial" w:hAnsi="Arial"/>
      <w:b/>
      <w:bCs/>
      <w:color w:val="00B2D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2026-06-30T19:22:26.794Z</dcterms:created>
  <dcterms:modified xsi:type="dcterms:W3CDTF">2026-06-30T19:22:26.794Z</dcterms:modified>
</cp:coreProperties>
</file>

<file path=docProps/custom.xml><?xml version="1.0" encoding="utf-8"?>
<Properties xmlns="http://schemas.openxmlformats.org/officeDocument/2006/custom-properties" xmlns:vt="http://schemas.openxmlformats.org/officeDocument/2006/docPropsVTypes"/>
</file>