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f91394f79a4dcc0ceabad9363c0c30a05399b6"/>
    <w:p>
      <w:pPr>
        <w:pStyle w:val="Heading1"/>
      </w:pPr>
      <w:r>
        <w:t xml:space="preserve">KEV → ServiceNow Ticketing Integration Guide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Automatically create a ServiceNow ticket when a CISA Known Exploited Vulnerability (KEV) is detected on managed devices, so a SOC analyst or Intune administrator knows to patch the affected software.</w:t>
      </w:r>
    </w:p>
    <w:p>
      <w:pPr>
        <w:pStyle w:val="BodyText"/>
      </w:pPr>
      <w:r>
        <w:rPr>
          <w:b/>
          <w:bCs/>
        </w:rPr>
        <w:t xml:space="preserve">Drafting assistance:</w:t>
      </w:r>
      <w:r>
        <w:t xml:space="preserve"> </w:t>
      </w:r>
      <w:r>
        <w:t xml:space="preserve">Claude Opus 4.8 (via GitHub Copilot), grounded in official Microsoft Learn documentation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2026-06-12</w:t>
      </w:r>
    </w:p>
    <w:p>
      <w:r>
        <w:pict>
          <v:rect style="width:0;height:1.5pt" o:hralign="center" o:hrstd="t" o:hr="t"/>
        </w:pict>
      </w:r>
    </w:p>
    <w:bookmarkStart w:id="10" w:name="what-this-integration-does"/>
    <w:p>
      <w:pPr>
        <w:pStyle w:val="Heading2"/>
      </w:pPr>
      <w:r>
        <w:t xml:space="preserve">1. What this integration does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notification workflow</w:t>
      </w:r>
      <w:r>
        <w:t xml:space="preserve">, not an auto-remediation workflow. When the pipeline finds a KEV-listed CVE on a device, it creates a ServiceNow incident containing the CVE, affected application, device count, remediation guidance, and a link back to the Microsoft Defender portal. A human then performs the patching.</w:t>
      </w:r>
    </w:p>
    <w:p>
      <w:pPr>
        <w:pStyle w:val="SourceCode"/>
      </w:pPr>
      <w:r>
        <w:rPr>
          <w:rStyle w:val="VerbatimChar"/>
        </w:rPr>
        <w:t xml:space="preserve">MDETVM Logic App        →  Pulls MDVM vulnerability data into MDETVM_CL (Log Analytics)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Trigger logic           →  Detects KEV matches (scheduled query against MDETVM_CL)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KEV-ServiceNow Logic App →  HTTP POST to ServiceNow Table API (Basic Auth)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ServiceNow              →  Incident created and routed to the assignment group</w:t>
      </w:r>
    </w:p>
    <w:bookmarkStart w:id="9" w:name="important-scope-note-self-resolution"/>
    <w:p>
      <w:pPr>
        <w:pStyle w:val="Heading3"/>
      </w:pPr>
      <w:r>
        <w:t xml:space="preserve">Important scope note: self-resolution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Defender Vulnerability Management (MDVM)</w:t>
      </w:r>
      <w:r>
        <w:t xml:space="preserve"> </w:t>
      </w:r>
      <w:r>
        <w:t xml:space="preserve">is the source of truth for whether a vulnerability exists. A CVE clears from the Defender</w:t>
      </w:r>
      <w:r>
        <w:t xml:space="preserve"> </w:t>
      </w:r>
      <w:r>
        <w:rPr>
          <w:b/>
          <w:bCs/>
        </w:rPr>
        <w:t xml:space="preserve">Vulnerabilities / Weaknesses</w:t>
      </w:r>
      <w:r>
        <w:t xml:space="preserve"> </w:t>
      </w:r>
      <w:r>
        <w:t xml:space="preserve">page automatically once the device is patched and the sensor rescans. This self-resolution happens natively in Defender.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ServiceNow ticket does NOT self-resolve.</w:t>
      </w:r>
      <w:r>
        <w:t xml:space="preserve"> </w:t>
      </w:r>
      <w:r>
        <w:t xml:space="preserve">Closing a ticket does not update Defender, and Defender clearing a CVE does not close the ticket. The ticket is a work-tracking artifact and is managed in ServiceNow.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architecture-how-servicenow-is-called"/>
    <w:p>
      <w:pPr>
        <w:pStyle w:val="Heading2"/>
      </w:pPr>
      <w:r>
        <w:t xml:space="preserve">2. Architecture: how ServiceNow is called</w:t>
      </w:r>
    </w:p>
    <w:p>
      <w:pPr>
        <w:pStyle w:val="FirstParagraph"/>
      </w:pPr>
      <w:r>
        <w:t xml:space="preserve">The Logic App talks to ServiceNow with a plain</w:t>
      </w:r>
      <w:r>
        <w:t xml:space="preserve"> </w:t>
      </w:r>
      <w:r>
        <w:rPr>
          <w:b/>
          <w:bCs/>
        </w:rPr>
        <w:t xml:space="preserve">HTTP POST to the ServiceNow REST Table API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the managed ServiceNow connector. The key actions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</w:t>
      </w:r>
      <w:r>
        <w:t xml:space="preserve"> </w:t>
      </w:r>
      <w:r>
        <w:t xml:space="preserve">— HTTP Request trigger, called with a JSON payload (</w:t>
      </w:r>
      <w:r>
        <w:rPr>
          <w:rStyle w:val="VerbatimChar"/>
        </w:rPr>
        <w:t xml:space="preserve">cveId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managedDeviceCount</w:t>
      </w:r>
      <w:r>
        <w:t xml:space="preserve">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Compose ticket body</w:t>
      </w:r>
      <w:r>
        <w:t xml:space="preserve"> </w:t>
      </w:r>
      <w:r>
        <w:t xml:space="preserve">— builds the ServiceNow incident fields (short description, description, urgency/impact/priority, assignment group, custom</w:t>
      </w:r>
      <w:r>
        <w:t xml:space="preserve"> </w:t>
      </w:r>
      <w:r>
        <w:rPr>
          <w:rStyle w:val="VerbatimChar"/>
        </w:rPr>
        <w:t xml:space="preserve">u_*</w:t>
      </w:r>
      <w:r>
        <w:t xml:space="preserve"> </w:t>
      </w:r>
      <w:r>
        <w:t xml:space="preserve">fields)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ServiceNow ticket</w:t>
      </w:r>
      <w:r>
        <w:t xml:space="preserve"> </w:t>
      </w:r>
      <w:r>
        <w:t xml:space="preserve">— HTTP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{instanceUrl}/api/now/table/{table}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Basic Auth</w:t>
      </w:r>
      <w:r>
        <w:t xml:space="preserve"> </w:t>
      </w:r>
      <w:r>
        <w:t xml:space="preserve">(service account username + password)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</w:t>
      </w:r>
      <w:r>
        <w:t xml:space="preserve"> </w:t>
      </w:r>
      <w:r>
        <w:t xml:space="preserve">— returns the HTTP status and ServiceNow response (runs on both success and failure so errors surface)</w:t>
      </w:r>
    </w:p>
    <w:bookmarkStart w:id="12" w:name="X8d9f2c29ea21399927052efb8041e7783b8b0f1"/>
    <w:p>
      <w:pPr>
        <w:pStyle w:val="Heading3"/>
      </w:pPr>
      <w:r>
        <w:t xml:space="preserve">Is the managed ServiceNow connector available in GCC?</w:t>
      </w:r>
    </w:p>
    <w:p>
      <w:pPr>
        <w:pStyle w:val="FirstParagraph"/>
      </w:pPr>
      <w:r>
        <w:t xml:space="preserve">Yes. Per the</w:t>
      </w:r>
      <w:r>
        <w:t xml:space="preserve"> </w:t>
      </w:r>
      <w:hyperlink r:id="rId11">
        <w:r>
          <w:rPr>
            <w:rStyle w:val="Hyperlink"/>
          </w:rPr>
          <w:t xml:space="preserve">ServiceNow connector reference</w:t>
        </w:r>
      </w:hyperlink>
      <w:r>
        <w:t xml:space="preserve">, the Logic Apps ServiceNow connector is available in</w:t>
      </w:r>
      <w:r>
        <w:t xml:space="preserve"> </w:t>
      </w:r>
      <w:r>
        <w:rPr>
          <w:b/>
          <w:bCs/>
        </w:rPr>
        <w:t xml:space="preserve">all Logic Apps regions except US Department of Defense (DoD)</w:t>
      </w:r>
      <w:r>
        <w:t xml:space="preserve"> </w:t>
      </w:r>
      <w:r>
        <w:t xml:space="preserve">— so</w:t>
      </w:r>
      <w:r>
        <w:t xml:space="preserve"> </w:t>
      </w:r>
      <w:r>
        <w:rPr>
          <w:b/>
          <w:bCs/>
        </w:rPr>
        <w:t xml:space="preserve">GCC and GCC High are supported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However</w:t>
      </w:r>
      <w:r>
        <w:t xml:space="preserve">, Microsoft’s own guidance notes that the connector supports only</w:t>
      </w:r>
      <w:r>
        <w:t xml:space="preserve"> </w:t>
      </w:r>
      <w:r>
        <w:rPr>
          <w:rStyle w:val="VerbatimChar"/>
        </w:rPr>
        <w:t xml:space="preserve">service-now.com</w:t>
      </w:r>
      <w:r>
        <w:t xml:space="preserve"> </w:t>
      </w:r>
      <w:r>
        <w:t xml:space="preserve">instance URLs, and</w:t>
      </w:r>
      <w:r>
        <w:t xml:space="preserve"> </w:t>
      </w:r>
      <w:r>
        <w:rPr>
          <w:b/>
          <w:bCs/>
        </w:rPr>
        <w:t xml:space="preserve">for GCC instances on alternative domains, Basic Authentication is recommended</w:t>
      </w:r>
      <w:r>
        <w:t xml:space="preserve"> </w:t>
      </w:r>
      <w:r>
        <w:t xml:space="preserve">(Known Issues #3 on the connector page). This implementation uses</w:t>
      </w:r>
      <w:r>
        <w:t xml:space="preserve"> </w:t>
      </w:r>
      <w:r>
        <w:rPr>
          <w:b/>
          <w:bCs/>
        </w:rPr>
        <w:t xml:space="preserve">HTTP + Basic Auth</w:t>
      </w:r>
      <w:r>
        <w:t xml:space="preserve">, which works in GCC, GCC High, and DoD regardless of the connector’s region availability, and sidesteps the domain limitation entirely.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dfdb141f3bbbe9b9ff0846d44a70f49ced0d521"/>
    <w:p>
      <w:pPr>
        <w:pStyle w:val="Heading2"/>
      </w:pPr>
      <w:r>
        <w:t xml:space="preserve">3. Azure Key Vault: protecting the ServiceNow password</w:t>
      </w:r>
    </w:p>
    <w:p>
      <w:pPr>
        <w:pStyle w:val="FirstParagraph"/>
      </w:pPr>
      <w:r>
        <w:t xml:space="preserve">The ServiceNow service-account password must be stored in</w:t>
      </w:r>
      <w:r>
        <w:t xml:space="preserve"> </w:t>
      </w:r>
      <w:r>
        <w:rPr>
          <w:b/>
          <w:bCs/>
        </w:rPr>
        <w:t xml:space="preserve">Azure Key Vault</w:t>
      </w:r>
      <w:r>
        <w:t xml:space="preserve">, not hardcoded in the Logic App. Key Vault is a secure secret store; the Logic App reads the password at runtime through its managed identity.</w:t>
      </w:r>
    </w:p>
    <w:bookmarkStart w:id="18" w:name="X601fc694dbbfb961591f33f7a1d036c4f78af3f"/>
    <w:p>
      <w:pPr>
        <w:pStyle w:val="Heading3"/>
      </w:pPr>
      <w:r>
        <w:t xml:space="preserve">How Key Vault protects the credential (verified, Microsoft Learn)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Secrets encrypted by a key hierarchy protected by FIPS-validated modules (Standard = FIPS 140-2 Level 1; Premium = FIPS 140-3 Level 3 HSM)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About Key Vault secrets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About Key Vault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All access over HTTPS/TLS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Key Vault RBAC guide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Identity + authorization</w:t>
            </w:r>
          </w:p>
        </w:tc>
        <w:tc>
          <w:tcPr/>
          <w:p>
            <w:pPr>
              <w:pStyle w:val="Compact"/>
            </w:pPr>
            <w:r>
              <w:t xml:space="preserve">Microsoft Entra authentication + RBAC (least privilege)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Key Vault RBAC guide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 plaintext in the app</w:t>
            </w:r>
          </w:p>
        </w:tc>
        <w:tc>
          <w:tcPr/>
          <w:p>
            <w:pPr>
              <w:pStyle w:val="Compact"/>
            </w:pPr>
            <w:r>
              <w:t xml:space="preserve">Workflow holds only a reference; the secret is never in the definition or 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 + purge protection</w:t>
            </w:r>
          </w:p>
        </w:tc>
        <w:tc>
          <w:tcPr/>
          <w:p>
            <w:pPr>
              <w:pStyle w:val="Compact"/>
            </w:pPr>
            <w:r>
              <w:t xml:space="preserve">Deleted secrets recoverable 7-90 days; purge protection cannot be overridden, even by Microsoft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Soft-delete overview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Every secret access is logged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Production requirement:</w:t>
      </w:r>
      <w:r>
        <w:t xml:space="preserve"> </w:t>
      </w:r>
      <w:r>
        <w:t xml:space="preserve">the password parameter must hold a true</w:t>
      </w:r>
      <w:r>
        <w:t xml:space="preserve"> </w:t>
      </w:r>
      <w:r>
        <w:rPr>
          <w:b/>
          <w:bCs/>
        </w:rPr>
        <w:t xml:space="preserve">Key Vault reference</w:t>
      </w:r>
      <w:r>
        <w:t xml:space="preserve">, not a plaintext value. If deployed with a plaintext password (demo mode), none of the protections above apply.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roles-required"/>
    <w:p>
      <w:pPr>
        <w:pStyle w:val="Heading2"/>
      </w:pPr>
      <w:r>
        <w:t xml:space="preserve">4. Roles required</w:t>
      </w:r>
    </w:p>
    <w:bookmarkStart w:id="24" w:name="Xc13e1931397db365e08810ea8e0ab4fcc0cbe7b"/>
    <w:p>
      <w:pPr>
        <w:pStyle w:val="Heading3"/>
      </w:pPr>
      <w:r>
        <w:t xml:space="preserve">Azure side (verified against Microsoft Learn)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 / what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 Apps Standard Contributor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Logic App Contributor</w:t>
            </w:r>
            <w:r>
              <w:t xml:space="preserve"> </w:t>
            </w:r>
            <w:r>
              <w:t xml:space="preserve">for Consumption)</w:t>
            </w:r>
          </w:p>
        </w:tc>
        <w:tc>
          <w:tcPr/>
          <w:p>
            <w:pPr>
              <w:pStyle w:val="Compact"/>
            </w:pPr>
            <w:r>
              <w:t xml:space="preserve">Resource group</w:t>
            </w:r>
          </w:p>
        </w:tc>
        <w:tc>
          <w:tcPr/>
          <w:p>
            <w:pPr>
              <w:pStyle w:val="Compact"/>
            </w:pPr>
            <w:r>
              <w:t xml:space="preserve">Create / edit the playbook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Automate threat response with playbooks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Deployer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Resource group</w:t>
            </w:r>
          </w:p>
        </w:tc>
        <w:tc>
          <w:tcPr/>
          <w:p>
            <w:pPr>
              <w:pStyle w:val="Compact"/>
            </w:pPr>
            <w:r>
              <w:t xml:space="preserve">Deploy the Logic App + Key Vault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Steps to assign an Azure role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Logic App managed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Vault Secrets User</w:t>
            </w:r>
          </w:p>
        </w:tc>
        <w:tc>
          <w:tcPr/>
          <w:p>
            <w:pPr>
              <w:pStyle w:val="Compact"/>
            </w:pPr>
            <w:r>
              <w:t xml:space="preserve">The Key Vault (or RG)</w:t>
            </w:r>
          </w:p>
        </w:tc>
        <w:tc>
          <w:tcPr/>
          <w:p>
            <w:pPr>
              <w:pStyle w:val="Compact"/>
            </w:pPr>
            <w:r>
              <w:t xml:space="preserve">Read the ServiceNow password at runtime (RBAC permission model)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Key Vault RBAC guide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Deployer (to grant the role above)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User Access Administrator</w:t>
            </w:r>
          </w:p>
        </w:tc>
        <w:tc>
          <w:tcPr/>
          <w:p>
            <w:pPr>
              <w:pStyle w:val="Compact"/>
            </w:pPr>
            <w:r>
              <w:t xml:space="preserve">Key Vault / RG</w:t>
            </w:r>
          </w:p>
        </w:tc>
        <w:tc>
          <w:tcPr/>
          <w:p>
            <w:pPr>
              <w:pStyle w:val="Compact"/>
            </w:pPr>
            <w:r>
              <w:t xml:space="preserve">Create the role assignment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Steps to assign an Azure role</w:t>
              </w:r>
            </w:hyperlink>
          </w:p>
        </w:tc>
      </w:tr>
    </w:tbl>
    <w:p>
      <w:pPr>
        <w:pStyle w:val="BlockText"/>
      </w:pPr>
      <w:r>
        <w:t xml:space="preserve">If the trigger is a</w:t>
      </w:r>
      <w:r>
        <w:t xml:space="preserve"> </w:t>
      </w:r>
      <w:r>
        <w:rPr>
          <w:b/>
          <w:bCs/>
        </w:rPr>
        <w:t xml:space="preserve">Sentinel automation rule</w:t>
      </w:r>
      <w:r>
        <w:t xml:space="preserve"> </w:t>
      </w:r>
      <w:r>
        <w:t xml:space="preserve">instead of a scheduled query, also assign</w:t>
      </w:r>
      <w:r>
        <w:t xml:space="preserve"> </w:t>
      </w:r>
      <w:r>
        <w:rPr>
          <w:b/>
          <w:bCs/>
        </w:rPr>
        <w:t xml:space="preserve">Microsoft Sentinel Contributor</w:t>
      </w:r>
      <w:r>
        <w:t xml:space="preserve"> </w:t>
      </w:r>
      <w:r>
        <w:t xml:space="preserve">(to attach the playbook) and grant the Sentinel service account</w:t>
      </w:r>
      <w:r>
        <w:t xml:space="preserve"> </w:t>
      </w:r>
      <w:r>
        <w:rPr>
          <w:b/>
          <w:bCs/>
        </w:rPr>
        <w:t xml:space="preserve">Microsoft Sentinel Automation Contributor</w:t>
      </w:r>
      <w:r>
        <w:t xml:space="preserve"> </w:t>
      </w:r>
      <w:r>
        <w:t xml:space="preserve">on the playbook’s resource group (</w:t>
      </w:r>
      <w:hyperlink r:id="rId23">
        <w:r>
          <w:rPr>
            <w:rStyle w:val="Hyperlink"/>
          </w:rPr>
          <w:t xml:space="preserve">source</w:t>
        </w:r>
      </w:hyperlink>
      <w:r>
        <w:t xml:space="preserve">). The scheduled-query approach used here does not require these.</w:t>
      </w:r>
    </w:p>
    <w:bookmarkEnd w:id="24"/>
    <w:bookmarkStart w:id="25" w:name="X999d88ebd91afc465993dca93cfebff3213777c"/>
    <w:p>
      <w:pPr>
        <w:pStyle w:val="Heading3"/>
      </w:pPr>
      <w:r>
        <w:t xml:space="preserve">ServiceNow side (confirm with your ServiceNow administrator)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Dedicated, active, non-MFA (Basic Auth requires username/password)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Create access on the target table. For the standard</w:t>
            </w:r>
            <w:r>
              <w:t xml:space="preserve"> </w:t>
            </w:r>
            <w:r>
              <w:rPr>
                <w:rStyle w:val="VerbatimChar"/>
              </w:rPr>
              <w:t xml:space="preserve">incident</w:t>
            </w:r>
            <w:r>
              <w:t xml:space="preserve"> </w:t>
            </w:r>
            <w:r>
              <w:t xml:space="preserve">table,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itil</w:t>
            </w:r>
            <w:r>
              <w:t xml:space="preserve"> </w:t>
            </w:r>
            <w:r>
              <w:t xml:space="preserve">role is the common grant. SecOps (</w:t>
            </w:r>
            <w:r>
              <w:rPr>
                <w:rStyle w:val="VerbatimChar"/>
              </w:rPr>
              <w:t xml:space="preserve">sn_si_incident</w:t>
            </w:r>
            <w:r>
              <w:t xml:space="preserve">) or Vulnerability Response (</w:t>
            </w:r>
            <w:r>
              <w:rPr>
                <w:rStyle w:val="VerbatimChar"/>
              </w:rPr>
              <w:t xml:space="preserve">sn_vul_vulnerable_item</w:t>
            </w:r>
            <w:r>
              <w:t xml:space="preserve">) require the corresponding module role.</w:t>
            </w:r>
            <w:r>
              <w:t xml:space="preserve"> </w:t>
            </w:r>
            <w:r>
              <w:rPr>
                <w:i/>
                <w:iCs/>
              </w:rPr>
              <w:t xml:space="preserve">(ServiceNow is not a Microsoft product — the exact minimum role is governed by your instance’s ACL model and must be confirmed by your ServiceNow admin.)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Permission to call the REST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Table API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/api/now/table/{table}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Custom fields (</w:t>
            </w:r>
            <w:r>
              <w:rPr>
                <w:rStyle w:val="VerbatimChar"/>
              </w:rPr>
              <w:t xml:space="preserve">u_cve_id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u_app_name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u_app_version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u_affected_count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u_kev_listed</w:t>
            </w:r>
            <w:r>
              <w:t xml:space="preserve">) must exist on the target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group</w:t>
            </w:r>
          </w:p>
        </w:tc>
        <w:tc>
          <w:tcPr/>
          <w:p>
            <w:pPr>
              <w:pStyle w:val="Compact"/>
            </w:pPr>
            <w:r>
              <w:t xml:space="preserve">The group the tickets route to (e.g.,</w:t>
            </w:r>
            <w:r>
              <w:t xml:space="preserve"> </w:t>
            </w:r>
            <w:r>
              <w:t xml:space="preserve">“Endpoint Engineering”</w:t>
            </w:r>
            <w:r>
              <w:t xml:space="preserve">) must exist</w:t>
            </w:r>
          </w:p>
        </w:tc>
      </w:tr>
    </w:tbl>
    <w:bookmarkEnd w:id="25"/>
    <w:bookmarkStart w:id="26" w:name="network"/>
    <w:p>
      <w:pPr>
        <w:pStyle w:val="Heading3"/>
      </w:pPr>
      <w:r>
        <w:t xml:space="preserve">Network</w:t>
      </w:r>
    </w:p>
    <w:p>
      <w:pPr>
        <w:pStyle w:val="Compact"/>
        <w:numPr>
          <w:ilvl w:val="0"/>
          <w:numId w:val="1003"/>
        </w:numPr>
      </w:pPr>
      <w:r>
        <w:t xml:space="preserve">Outbound</w:t>
      </w:r>
      <w:r>
        <w:t xml:space="preserve"> </w:t>
      </w:r>
      <w:r>
        <w:rPr>
          <w:b/>
          <w:bCs/>
        </w:rPr>
        <w:t xml:space="preserve">HTTPS (443)</w:t>
      </w:r>
      <w:r>
        <w:t xml:space="preserve"> </w:t>
      </w:r>
      <w:r>
        <w:t xml:space="preserve">from the Logic App to the ServiceNow instance must be permitted.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plementation-steps"/>
    <w:p>
      <w:pPr>
        <w:pStyle w:val="Heading2"/>
      </w:pPr>
      <w:r>
        <w:t xml:space="preserve">5. Implementation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 Key Vault</w:t>
      </w:r>
      <w:r>
        <w:t xml:space="preserve"> </w:t>
      </w:r>
      <w:r>
        <w:t xml:space="preserve">and store the ServiceNow service-account password as a secret.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 the Logic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Deploy-KEVServiceNow.&lt;cloud&gt;.ps1</w:t>
      </w:r>
      <w:r>
        <w:t xml:space="preserve">) with the ServiceNow instance URL, table, service-account username, and a</w:t>
      </w:r>
      <w:r>
        <w:t xml:space="preserve"> </w:t>
      </w:r>
      <w:r>
        <w:rPr>
          <w:b/>
          <w:bCs/>
        </w:rPr>
        <w:t xml:space="preserve">Key Vault reference</w:t>
      </w:r>
      <w:r>
        <w:t xml:space="preserve"> </w:t>
      </w:r>
      <w:r>
        <w:t xml:space="preserve">for the password.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Grant the Logic App managed identity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Key Vault Secrets User</w:t>
      </w:r>
      <w:r>
        <w:t xml:space="preserve"> </w:t>
      </w:r>
      <w:r>
        <w:t xml:space="preserve">role on the vault.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Configure the trigger</w:t>
      </w:r>
      <w:r>
        <w:t xml:space="preserve"> </w:t>
      </w:r>
      <w:r>
        <w:t xml:space="preserve">— a scheduled Logic App that queries</w:t>
      </w:r>
      <w:r>
        <w:t xml:space="preserve"> </w:t>
      </w:r>
      <w:r>
        <w:rPr>
          <w:rStyle w:val="VerbatimChar"/>
        </w:rPr>
        <w:t xml:space="preserve">MDETVM_CL</w:t>
      </w:r>
      <w:r>
        <w:t xml:space="preserve"> </w:t>
      </w:r>
      <w:r>
        <w:t xml:space="preserve">for KEV matches and calls the ServiceNow playbook. (Include de-duplication so the same CVE/device does not generate repeated tickets.)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safely</w:t>
      </w:r>
      <w:r>
        <w:t xml:space="preserve"> </w:t>
      </w:r>
      <w:r>
        <w:t xml:space="preserve">— point the instance URL at a</w:t>
      </w:r>
      <w:r>
        <w:t xml:space="preserve"> </w:t>
      </w:r>
      <w:r>
        <w:rPr>
          <w:rStyle w:val="VerbatimChar"/>
        </w:rPr>
        <w:t xml:space="preserve">webhook.site</w:t>
      </w:r>
      <w:r>
        <w:t xml:space="preserve"> </w:t>
      </w:r>
      <w:r>
        <w:t xml:space="preserve">collector first to inspect the payload without touching production ServiceNow, then switch to the real instance.</w:t>
      </w:r>
    </w:p>
    <w:p>
      <w:r>
        <w:pict>
          <v:rect style="width:0;height:1.5pt" o:hralign="center" o:hrstd="t" o:hr="t"/>
        </w:pict>
      </w:r>
    </w:p>
    <w:bookmarkEnd w:id="28"/>
    <w:bookmarkStart w:id="29" w:name="protective-measures-built-in"/>
    <w:p>
      <w:pPr>
        <w:pStyle w:val="Heading2"/>
      </w:pPr>
      <w:r>
        <w:t xml:space="preserve">6. Protective measures built 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flood from every vulnerability</w:t>
            </w:r>
          </w:p>
        </w:tc>
        <w:tc>
          <w:tcPr/>
          <w:p>
            <w:pPr>
              <w:pStyle w:val="Compact"/>
            </w:pPr>
            <w:r>
              <w:t xml:space="preserve">KEV-only scoping (only CISA KEV-listed CVEs trigger)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tickets for the same CVE/device</w:t>
            </w:r>
          </w:p>
        </w:tc>
        <w:tc>
          <w:tcPr/>
          <w:p>
            <w:pPr>
              <w:pStyle w:val="Compact"/>
            </w:pPr>
            <w:r>
              <w:t xml:space="preserve">De-duplication logic (90-day lookback) — must be carried into the trigger if using a scheduled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 for accepted-risk items</w:t>
            </w:r>
          </w:p>
        </w:tc>
        <w:tc>
          <w:tcPr/>
          <w:p>
            <w:pPr>
              <w:pStyle w:val="Compact"/>
            </w:pPr>
            <w:r>
              <w:t xml:space="preserve">Exception watchlist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credentials</w:t>
            </w:r>
          </w:p>
        </w:tc>
        <w:tc>
          <w:tcPr/>
          <w:p>
            <w:pPr>
              <w:pStyle w:val="Compact"/>
            </w:pPr>
            <w:r>
              <w:t xml:space="preserve">Key Vault reference for the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Over-privileged identity</w:t>
            </w:r>
          </w:p>
        </w:tc>
        <w:tc>
          <w:tcPr/>
          <w:p>
            <w:pPr>
              <w:pStyle w:val="Compact"/>
            </w:pPr>
            <w:r>
              <w:t xml:space="preserve">Dedicated ServiceNow service account; least-privilege Azure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failures</w:t>
            </w:r>
          </w:p>
        </w:tc>
        <w:tc>
          <w:tcPr/>
          <w:p>
            <w:pPr>
              <w:pStyle w:val="Compact"/>
            </w:pPr>
            <w:r>
              <w:t xml:space="preserve">Response action runs on both success and failure, returning the HTTP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Risky testing against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webhook.site</w:t>
            </w:r>
            <w:r>
              <w:t xml:space="preserve"> </w:t>
            </w:r>
            <w:r>
              <w:t xml:space="preserve">demo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sources"/>
    <w:p>
      <w:pPr>
        <w:pStyle w:val="Heading2"/>
      </w:pPr>
      <w:r>
        <w:t xml:space="preserve">7. Sources</w:t>
      </w:r>
    </w:p>
    <w:p>
      <w:pPr>
        <w:pStyle w:val="FirstParagraph"/>
      </w:pPr>
      <w:r>
        <w:t xml:space="preserve">All Microsoft claims in this guide were verified against Microsoft Learn: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Automate threat response with playbooks in Microsoft Sentinel</w:t>
        </w:r>
      </w:hyperlink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Automate and run Microsoft Sentinel playbooks</w:t>
        </w:r>
      </w:hyperlink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Roles and permissions in the Microsoft Sentinel platform</w:t>
        </w:r>
      </w:hyperlink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Steps to assign an Azure role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Provide access to Key Vault with Azure RBAC</w:t>
        </w:r>
      </w:hyperlink>
    </w:p>
    <w:p>
      <w:pPr>
        <w:pStyle w:val="Compact"/>
        <w:numPr>
          <w:ilvl w:val="0"/>
          <w:numId w:val="1005"/>
        </w:numPr>
      </w:pPr>
      <w:hyperlink r:id="rId14">
        <w:r>
          <w:rPr>
            <w:rStyle w:val="Hyperlink"/>
          </w:rPr>
          <w:t xml:space="preserve">About Azure Key Vault secrets</w:t>
        </w:r>
      </w:hyperlink>
    </w:p>
    <w:p>
      <w:pPr>
        <w:pStyle w:val="Compact"/>
        <w:numPr>
          <w:ilvl w:val="0"/>
          <w:numId w:val="1005"/>
        </w:numPr>
      </w:pPr>
      <w:hyperlink r:id="rId15">
        <w:r>
          <w:rPr>
            <w:rStyle w:val="Hyperlink"/>
          </w:rPr>
          <w:t xml:space="preserve">About Azure Key Vault</w:t>
        </w:r>
      </w:hyperlink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Hyperlink"/>
          </w:rPr>
          <w:t xml:space="preserve">Azure Key Vault soft-delete overview</w:t>
        </w:r>
      </w:hyperlink>
    </w:p>
    <w:p>
      <w:pPr>
        <w:pStyle w:val="Compact"/>
        <w:numPr>
          <w:ilvl w:val="0"/>
          <w:numId w:val="1005"/>
        </w:numPr>
      </w:pPr>
      <w:hyperlink r:id="rId11">
        <w:r>
          <w:rPr>
            <w:rStyle w:val="Hyperlink"/>
          </w:rPr>
          <w:t xml:space="preserve">ServiceNow connector reference (availability + Basic Auth guidance for GCC)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Microsoft Defender Vulnerability Management — Vulnerabilities / Weaknesses</w:t>
        </w:r>
      </w:hyperlink>
    </w:p>
    <w:p>
      <w:pPr>
        <w:pStyle w:val="BlockText"/>
      </w:pPr>
      <w:r>
        <w:t xml:space="preserve">The ServiceNow</w:t>
      </w:r>
      <w:r>
        <w:t xml:space="preserve"> </w:t>
      </w:r>
      <w:r>
        <w:rPr>
          <w:rStyle w:val="VerbatimChar"/>
        </w:rPr>
        <w:t xml:space="preserve">itil</w:t>
      </w:r>
      <w:r>
        <w:t xml:space="preserve"> </w:t>
      </w:r>
      <w:r>
        <w:t xml:space="preserve">role is a ServiceNow product role, not a Microsoft role, and is therefore not citable from Microsoft Learn. Confirm the minimum required role with your ServiceNow administrator against your instance’s ACL configuration.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learn.microsoft.com/azure/key-vault/general/overview" TargetMode="External" /><Relationship Type="http://schemas.openxmlformats.org/officeDocument/2006/relationships/hyperlink" Id="rId16" Target="https://learn.microsoft.com/azure/key-vault/general/rbac-guide" TargetMode="External" /><Relationship Type="http://schemas.openxmlformats.org/officeDocument/2006/relationships/hyperlink" Id="rId17" Target="https://learn.microsoft.com/azure/key-vault/general/soft-delete-overview" TargetMode="External" /><Relationship Type="http://schemas.openxmlformats.org/officeDocument/2006/relationships/hyperlink" Id="rId14" Target="https://learn.microsoft.com/azure/key-vault/secrets/about-secrets" TargetMode="External" /><Relationship Type="http://schemas.openxmlformats.org/officeDocument/2006/relationships/hyperlink" Id="rId31" Target="https://learn.microsoft.com/azure/role-based-access-control/role-assignments-steps" TargetMode="External" /><Relationship Type="http://schemas.openxmlformats.org/officeDocument/2006/relationships/hyperlink" Id="rId21" Target="https://learn.microsoft.com/azure/role-based-access-control/role-assignments-steps#step-2-select-the-appropriate-role" TargetMode="External" /><Relationship Type="http://schemas.openxmlformats.org/officeDocument/2006/relationships/hyperlink" Id="rId22" Target="https://learn.microsoft.com/azure/role-based-access-control/role-assignments-steps#step-4-check-your-prerequisites" TargetMode="External" /><Relationship Type="http://schemas.openxmlformats.org/officeDocument/2006/relationships/hyperlink" Id="rId20" Target="https://learn.microsoft.com/azure/sentinel/automation/automate-responses-with-playbooks#prerequisites" TargetMode="External" /><Relationship Type="http://schemas.openxmlformats.org/officeDocument/2006/relationships/hyperlink" Id="rId23" Target="https://learn.microsoft.com/azure/sentinel/automation/run-playbooks#prerequisites" TargetMode="External" /><Relationship Type="http://schemas.openxmlformats.org/officeDocument/2006/relationships/hyperlink" Id="rId30" Target="https://learn.microsoft.com/azure/sentinel/roles#built-in-azure-roles-for-microsoft-sentinel" TargetMode="External" /><Relationship Type="http://schemas.openxmlformats.org/officeDocument/2006/relationships/hyperlink" Id="rId11" Target="https://learn.microsoft.com/connectors/service-now/" TargetMode="External" /><Relationship Type="http://schemas.openxmlformats.org/officeDocument/2006/relationships/hyperlink" Id="rId32" Target="https://learn.microsoft.com/defender-vulnerability-management/tvm-weaknes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learn.microsoft.com/azure/key-vault/general/overview" TargetMode="External" /><Relationship Type="http://schemas.openxmlformats.org/officeDocument/2006/relationships/hyperlink" Id="rId16" Target="https://learn.microsoft.com/azure/key-vault/general/rbac-guide" TargetMode="External" /><Relationship Type="http://schemas.openxmlformats.org/officeDocument/2006/relationships/hyperlink" Id="rId17" Target="https://learn.microsoft.com/azure/key-vault/general/soft-delete-overview" TargetMode="External" /><Relationship Type="http://schemas.openxmlformats.org/officeDocument/2006/relationships/hyperlink" Id="rId14" Target="https://learn.microsoft.com/azure/key-vault/secrets/about-secrets" TargetMode="External" /><Relationship Type="http://schemas.openxmlformats.org/officeDocument/2006/relationships/hyperlink" Id="rId31" Target="https://learn.microsoft.com/azure/role-based-access-control/role-assignments-steps" TargetMode="External" /><Relationship Type="http://schemas.openxmlformats.org/officeDocument/2006/relationships/hyperlink" Id="rId21" Target="https://learn.microsoft.com/azure/role-based-access-control/role-assignments-steps#step-2-select-the-appropriate-role" TargetMode="External" /><Relationship Type="http://schemas.openxmlformats.org/officeDocument/2006/relationships/hyperlink" Id="rId22" Target="https://learn.microsoft.com/azure/role-based-access-control/role-assignments-steps#step-4-check-your-prerequisites" TargetMode="External" /><Relationship Type="http://schemas.openxmlformats.org/officeDocument/2006/relationships/hyperlink" Id="rId20" Target="https://learn.microsoft.com/azure/sentinel/automation/automate-responses-with-playbooks#prerequisites" TargetMode="External" /><Relationship Type="http://schemas.openxmlformats.org/officeDocument/2006/relationships/hyperlink" Id="rId23" Target="https://learn.microsoft.com/azure/sentinel/automation/run-playbooks#prerequisites" TargetMode="External" /><Relationship Type="http://schemas.openxmlformats.org/officeDocument/2006/relationships/hyperlink" Id="rId30" Target="https://learn.microsoft.com/azure/sentinel/roles#built-in-azure-roles-for-microsoft-sentinel" TargetMode="External" /><Relationship Type="http://schemas.openxmlformats.org/officeDocument/2006/relationships/hyperlink" Id="rId11" Target="https://learn.microsoft.com/connectors/service-now/" TargetMode="External" /><Relationship Type="http://schemas.openxmlformats.org/officeDocument/2006/relationships/hyperlink" Id="rId32" Target="https://learn.microsoft.com/defender-vulnerability-management/tvm-weaknes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2026-06-12T19:10:10Z</dcterms:created>
  <dcterms:modified xsi:type="dcterms:W3CDTF">2026-06-12T19:10:10Z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