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  <w:spacing w:before="200" w:after="80"/>
      </w:pPr>
      <w:r>
        <w:rPr>
          <w:b/>
          <w:color w:val="1E3A8A"/>
          <w:sz w:val="42"/>
          <w:szCs w:val="42"/>
        </w:rPr>
        <w:t xml:space="preserve">Quick Start Guide</w:t>
      </w:r>
    </w:p>
    <w:p>
      <w:pPr>
        <w:jc w:val="center"/>
        <w:spacing w:before="0" w:after="40"/>
      </w:pPr>
      <w:r>
        <w:rPr>
          <w:b/>
          <w:color w:val="0F172A"/>
          <w:sz w:val="30"/>
          <w:szCs w:val="30"/>
        </w:rPr>
        <w:t xml:space="preserve">MTFS Financial Resilience Studio</w:t>
      </w:r>
    </w:p>
    <w:p>
      <w:pPr>
        <w:jc w:val="center"/>
        <w:spacing w:before="0" w:after="260"/>
      </w:pPr>
      <w:r>
        <w:rPr>
          <w:i/>
          <w:color w:val="334155"/>
          <w:sz w:val="22"/>
          <w:szCs w:val="22"/>
        </w:rPr>
        <w:t xml:space="preserve">For Chief Finance Officers (Section 151 Officers)</w:t>
      </w:r>
    </w:p>
    <w:p>
      <w:pPr>
        <w:jc w:val="center"/>
        <w:spacing w:before="0" w:after="120"/>
      </w:pPr>
      <w:r>
        <w:rPr>
          <w:b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to establish a robust, auditable MTFS baseline and produce governance-ready outputs within your first working session.</w:t>
      </w:r>
    </w:p>
    <w:p>
      <w:pPr>
        <w:jc w:val="center"/>
        <w:spacing w:before="0" w:after="340"/>
      </w:pPr>
      <w:r>
        <w:rPr>
          <w:b/>
          <w:color w:val="065F46"/>
          <w:sz w:val="20"/>
          <w:szCs w:val="20"/>
        </w:rPr>
        <w:t xml:space="preserve">Estimated first-session duration: 45–60 minutes</w:t>
      </w:r>
    </w:p>
    <w:p>
      <w:pPr>
        <w:jc w:val="center"/>
        <w:spacing w:before="0" w:after="420"/>
      </w:pPr>
      <w:r>
        <w:rPr>
          <w:color w:val="64748B"/>
          <w:sz w:val="18"/>
          <w:szCs w:val="18"/>
        </w:rPr>
        <w:t xml:space="preserve">Version date: 23 April 2026</w:t>
      </w:r>
    </w:p>
    <w:p>
      <w:r>
        <w:br w:type="page"/>
      </w:r>
    </w:p>
    <w:p>
      <w:pPr>
        <w:spacing w:before="80" w:after="120"/>
      </w:pPr>
      <w:r>
        <w:rPr>
          <w:b/>
          <w:color w:val="1E3A8A"/>
          <w:sz w:val="28"/>
          <w:szCs w:val="28"/>
        </w:rPr>
        <w:t xml:space="preserve">1. What You Need Before You Start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Latest approved base-year budget figures in £000s: council tax, business rates, core grants, fees/charges, pay, non-pay, ASC, CSC, and other service expenditure.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Current reserves position: general fund, earmarked reserves, and your proposed minimum prudent threshold.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A draft or approved savings programme, including delivery confidence and phasing assumptions.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Named risks and known funding uncertainties for the planning period (for governance narrative and stress testing).</w:t>
      </w:r>
    </w:p>
    <w:p>
      <w:pPr>
        <w:spacing w:before="160" w:after="120"/>
      </w:pPr>
      <w:r>
        <w:rPr>
          <w:b/>
          <w:color w:val="1E3A8A"/>
          <w:sz w:val="28"/>
          <w:szCs w:val="28"/>
        </w:rPr>
        <w:t xml:space="preserve">2. First 10-Minute Setup</w:t>
      </w:r>
    </w:p>
    <w:p>
      <w:pPr>
        <w:spacing w:before="0" w:after="80"/>
      </w:pPr>
      <w:r>
        <w:rPr>
          <w:sz w:val="20"/>
          <w:szCs w:val="20"/>
        </w:rPr>
        <w:t xml:space="preserve">In the sidebar, complete Authority Config first to ensure all exports are governance-ready: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Authority name, reporting period, Section 151 Officer, Chief Executive, and report date.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Confirm assumptions are in nominal terms unless real-terms mode is explicitly required.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Set accessibility/view mode if preparing packs for elected members in the same session.</w:t>
      </w:r>
    </w:p>
    <w:p>
      <w:pPr>
        <w:spacing w:before="160" w:after="120"/>
      </w:pPr>
      <w:r>
        <w:rPr>
          <w:b/>
          <w:color w:val="1E3A8A"/>
          <w:sz w:val="28"/>
          <w:szCs w:val="28"/>
        </w:rPr>
        <w:t xml:space="preserve">3. Build the Baseline (Critical Path)</w:t>
      </w:r>
    </w:p>
    <w:p>
      <w:pPr>
        <w:spacing w:before="0" w:after="80"/>
      </w:pPr>
      <w:r>
        <w:rPr>
          <w:sz w:val="20"/>
          <w:szCs w:val="20"/>
        </w:rPr>
        <w:t xml:space="preserve">Go to Baseline Configuration and enter or import the core budget lines. Changes recalculate immediately.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If importing, use the provided template and keep headers unchanged.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Validate variances in Prior-Year Validation; treat it as diagnostic evidence for audit trail, not as a model input.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Confirm reserves minimum threshold is consistent with your reserves adequacy method.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Add custom lines only where disaggregation improves decision quality (avoid unnecessary complexity).</w:t>
      </w:r>
    </w:p>
    <w:p>
      <w:pPr>
        <w:spacing w:before="160" w:after="120"/>
      </w:pPr>
      <w:r>
        <w:rPr>
          <w:b/>
          <w:color w:val="1E3A8A"/>
          <w:sz w:val="28"/>
          <w:szCs w:val="28"/>
        </w:rPr>
        <w:t xml:space="preserve">4. Set Assumptions and Policy Levers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Funding: council tax, business rates, grants variation, and fees/charges elasticity.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Expenditure: pay award, non-pay inflation, ASC/CSC demand growth, and savings delivery risk.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Policy: annual savings target, planned reserves usage, and social care protection settings.</w:t>
      </w:r>
    </w:p>
    <w:p>
      <w:pPr>
        <w:spacing w:before="0" w:after="120"/>
      </w:pPr>
      <w:r>
        <w:rPr>
          <w:b/>
          <w:sz w:val="20"/>
          <w:szCs w:val="20"/>
        </w:rPr>
        <w:t xml:space="preserve">CFO control point: </w:t>
      </w:r>
      <w:r>
        <w:rPr>
          <w:sz w:val="20"/>
          <w:szCs w:val="20"/>
        </w:rPr>
        <w:t xml:space="preserve">ensure structural gap and one-off mitigations are clearly separated before presenting affordability conclusions.</w:t>
      </w:r>
    </w:p>
    <w:p>
      <w:pPr>
        <w:spacing w:before="160" w:after="120"/>
      </w:pPr>
      <w:r>
        <w:rPr>
          <w:b/>
          <w:color w:val="1E3A8A"/>
          <w:sz w:val="28"/>
          <w:szCs w:val="28"/>
        </w:rPr>
        <w:t xml:space="preserve">5. Run Governance Checks (Section 151 Lens)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Review Overview, Gap Analysis, Reserves Analysis, and Risk &amp; Resilience in sequence.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Check whether any year breaches minimum reserves threshold or indicates statutory trigger risk.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Use named stress tests and worst-case combined stress to evidence downside resilience.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Save at least one baseline scenario and one stress scenario for transparent option comparison.</w:t>
      </w:r>
    </w:p>
    <w:p>
      <w:pPr>
        <w:spacing w:before="160" w:after="120"/>
      </w:pPr>
      <w:r>
        <w:rPr>
          <w:b/>
          <w:color w:val="1E3A8A"/>
          <w:sz w:val="28"/>
          <w:szCs w:val="28"/>
        </w:rPr>
        <w:t xml:space="preserve">6. Produce Decision Outputs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Export Committee Report PDF for formal governance narrative and assurance framing.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Export One-Page Member Brief PDF for concise member communication.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Export Premium Brief PDF for leadership-level decision sessions.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Export Decision Pack (3 options) to compare trade-offs and recommended pathway.</w:t>
      </w:r>
    </w:p>
    <w:p>
      <w:pPr>
        <w:spacing w:before="160" w:after="120"/>
      </w:pPr>
      <w:r>
        <w:rPr>
          <w:b/>
          <w:color w:val="1E3A8A"/>
          <w:sz w:val="28"/>
          <w:szCs w:val="28"/>
        </w:rPr>
        <w:t xml:space="preserve">7. Recommended Weekly Operating Rhythm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Weekly: refresh assumptions, review movement in cumulative and structural gap, and re-run stress cases.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Monthly: save a model snapshot with notes and produce an updated governance pack.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Pre-committee: freeze assumptions for pack generation and retain a clear audit trail of final changes.</w:t>
      </w:r>
    </w:p>
    <w:p>
      <w:pPr>
        <w:spacing w:before="160" w:after="120"/>
      </w:pPr>
      <w:r>
        <w:rPr>
          <w:b/>
          <w:color w:val="1E3A8A"/>
          <w:sz w:val="28"/>
          <w:szCs w:val="28"/>
        </w:rPr>
        <w:t xml:space="preserve">8. Quick CFO Checklist Before Sign-Off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Baseline completeness confirmed and quality-assured against prior-year actuals.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Structural gap quantified and recurring mitigations identified.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Reserves strategy prudent and explicitly linked to threshold methodology.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Stress and downside scenarios documented with governance actions.</w:t>
      </w:r>
    </w:p>
    <w:p>
      <w:pPr>
        <w:spacing w:before="0" w:after="70"/>
      </w:pPr>
      <w:r>
        <w:rPr>
          <w:b/>
          <w:color w:val="1E3A8A"/>
          <w:sz w:val="20"/>
          <w:szCs w:val="20"/>
        </w:rPr>
        <w:t xml:space="preserve">• </w:t>
      </w:r>
      <w:r>
        <w:rPr>
          <w:sz w:val="20"/>
          <w:szCs w:val="20"/>
        </w:rPr>
        <w:t xml:space="preserve">Exports generated with current authority metadata and report date.</w:t>
      </w:r>
    </w:p>
    <w:p>
      <w:pPr>
        <w:spacing w:before="180" w:after="100"/>
      </w:pPr>
      <w:r>
        <w:rPr>
          <w:b/>
          <w:color w:val="1E3A8A"/>
          <w:sz w:val="24"/>
          <w:szCs w:val="24"/>
        </w:rPr>
        <w:t xml:space="preserve">Executive Note</w:t>
      </w:r>
    </w:p>
    <w:p>
      <w:pPr>
        <w:spacing w:before="0" w:after="120"/>
      </w:pPr>
      <w:r>
        <w:rPr>
          <w:sz w:val="20"/>
          <w:szCs w:val="20"/>
        </w:rPr>
        <w:t xml:space="preserve">MTFS Financial Resilience Studio is designed to strengthen judgement, not replace it. </w:t>
      </w:r>
      <w:r>
        <w:rPr>
          <w:b/>
          <w:sz w:val="20"/>
          <w:szCs w:val="20"/>
        </w:rPr>
        <w:t xml:space="preserve">Section 151 accountability remains paramount</w:t>
      </w:r>
      <w:r>
        <w:rPr>
          <w:sz w:val="20"/>
          <w:szCs w:val="20"/>
        </w:rPr>
        <w:t xml:space="preserve">, supported by transparent assumptions, reproducible outputs, and disciplined governance cadence.</w:t>
      </w:r>
    </w:p>
    <w:sectPr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  <w:color w:val="0F17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Start Guide - MTFS Financial Resilience Studio</dc:title>
  <dc:creator>MTFS Financial Resilience Studio</dc:creator>
  <cp:lastModifiedBy>Codex</cp:lastModifiedBy>
  <dcterms:created xsi:type="dcterms:W3CDTF">2026-04-23T18:59:22Z</dcterms:created>
  <dcterms:modified xsi:type="dcterms:W3CDTF">2026-04-23T18:59:22Z</dcterms:modified>
</cp:coreProperties>
</file>