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before="1200"/>
        <w:jc w:val="center"/>
      </w:pPr>
      <w:r>
        <w:t xml:space="preserve">Onboarding Handbook for New Local Authorities</w:t>
      </w:r>
    </w:p>
    <w:p>
      <w:pPr>
        <w:spacing w:after="300"/>
        <w:jc w:val="center"/>
      </w:pPr>
      <w:r>
        <w:t xml:space="preserve">Comprehensive Implementation and Governance Guide</w:t>
      </w:r>
    </w:p>
    <w:p>
      <w:pPr>
        <w:spacing w:after="200"/>
        <w:jc w:val="center"/>
      </w:pPr>
      <w:r>
        <w:t xml:space="preserve">Issue Date: 2026-04-21</w:t>
      </w:r>
    </w:p>
    <w:p>
      <w:pPr>
        <w:spacing w:after="800"/>
        <w:jc w:val="center"/>
      </w:pPr>
      <w:r>
        <w:t xml:space="preserve">MTFS Decision Support System (v7)</w:t>
      </w:r>
    </w:p>
    <w:p>
      <w:pPr>
        <w:pStyle w:val="Heading1"/>
        <w:spacing w:after="120" w:before="20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9D9D9" w:sz="1"/>
              <w:left w:val="single" w:color="D9D9D9" w:sz="1"/>
              <w:bottom w:val="single" w:color="D9D9D9" w:sz="1"/>
              <w:right w:val="single" w:color="D9D9D9" w:sz="1"/>
            </w:tcBorders>
          </w:tcPr>
          <w:p>
            <w:r>
              <w:rPr>
                <w:b/>
                <w:bCs/>
              </w:rPr>
              <w:t xml:space="preserve">Field</w:t>
            </w:r>
          </w:p>
        </w:tc>
        <w:tc>
          <w:tcPr>
            <w:tcBorders>
              <w:top w:val="single" w:color="D9D9D9" w:sz="1"/>
              <w:left w:val="single" w:color="D9D9D9" w:sz="1"/>
              <w:bottom w:val="single" w:color="D9D9D9" w:sz="1"/>
              <w:right w:val="single" w:color="D9D9D9" w:sz="1"/>
            </w:tcBorders>
          </w:tcPr>
          <w:p>
            <w:r>
              <w:rPr>
                <w:b/>
                <w:bCs/>
              </w:rPr>
              <w:t xml:space="preserve">Value</w:t>
            </w:r>
          </w:p>
        </w:tc>
      </w:tr>
      <w:tr>
        <w:tc>
          <w:tcPr>
            <w:tcBorders>
              <w:top w:val="single" w:color="D9D9D9" w:sz="1"/>
              <w:left w:val="single" w:color="D9D9D9" w:sz="1"/>
              <w:bottom w:val="single" w:color="D9D9D9" w:sz="1"/>
              <w:right w:val="single" w:color="D9D9D9" w:sz="1"/>
            </w:tcBorders>
          </w:tcPr>
          <w:p>
            <w:r>
              <w:t xml:space="preserve">Document Owner</w:t>
            </w:r>
          </w:p>
        </w:tc>
        <w:tc>
          <w:tcPr>
            <w:tcBorders>
              <w:top w:val="single" w:color="D9D9D9" w:sz="1"/>
              <w:left w:val="single" w:color="D9D9D9" w:sz="1"/>
              <w:bottom w:val="single" w:color="D9D9D9" w:sz="1"/>
              <w:right w:val="single" w:color="D9D9D9" w:sz="1"/>
            </w:tcBorders>
          </w:tcPr>
          <w:p>
            <w:r>
              <w:t xml:space="preserve">Section 151 Officer / Corporate Finance Lead</w:t>
            </w:r>
          </w:p>
        </w:tc>
      </w:tr>
      <w:tr>
        <w:tc>
          <w:tcPr>
            <w:tcBorders>
              <w:top w:val="single" w:color="D9D9D9" w:sz="1"/>
              <w:left w:val="single" w:color="D9D9D9" w:sz="1"/>
              <w:bottom w:val="single" w:color="D9D9D9" w:sz="1"/>
              <w:right w:val="single" w:color="D9D9D9" w:sz="1"/>
            </w:tcBorders>
          </w:tcPr>
          <w:p>
            <w:r>
              <w:t xml:space="preserve">Audience</w:t>
            </w:r>
          </w:p>
        </w:tc>
        <w:tc>
          <w:tcPr>
            <w:tcBorders>
              <w:top w:val="single" w:color="D9D9D9" w:sz="1"/>
              <w:left w:val="single" w:color="D9D9D9" w:sz="1"/>
              <w:bottom w:val="single" w:color="D9D9D9" w:sz="1"/>
              <w:right w:val="single" w:color="D9D9D9" w:sz="1"/>
            </w:tcBorders>
          </w:tcPr>
          <w:p>
            <w:r>
              <w:t xml:space="preserve">Finance Team, Programme Team, Service Leads, Internal Audit</w:t>
            </w:r>
          </w:p>
        </w:tc>
      </w:tr>
      <w:tr>
        <w:tc>
          <w:tcPr>
            <w:tcBorders>
              <w:top w:val="single" w:color="D9D9D9" w:sz="1"/>
              <w:left w:val="single" w:color="D9D9D9" w:sz="1"/>
              <w:bottom w:val="single" w:color="D9D9D9" w:sz="1"/>
              <w:right w:val="single" w:color="D9D9D9" w:sz="1"/>
            </w:tcBorders>
          </w:tcPr>
          <w:p>
            <w:r>
              <w:t xml:space="preserve">Purpose</w:t>
            </w:r>
          </w:p>
        </w:tc>
        <w:tc>
          <w:tcPr>
            <w:tcBorders>
              <w:top w:val="single" w:color="D9D9D9" w:sz="1"/>
              <w:left w:val="single" w:color="D9D9D9" w:sz="1"/>
              <w:bottom w:val="single" w:color="D9D9D9" w:sz="1"/>
              <w:right w:val="single" w:color="D9D9D9" w:sz="1"/>
            </w:tcBorders>
          </w:tcPr>
          <w:p>
            <w:r>
              <w:t xml:space="preserve">Controlled onboarding and first-live use of MTFS DSS</w:t>
            </w:r>
          </w:p>
        </w:tc>
      </w:tr>
      <w:tr>
        <w:tc>
          <w:tcPr>
            <w:tcBorders>
              <w:top w:val="single" w:color="D9D9D9" w:sz="1"/>
              <w:left w:val="single" w:color="D9D9D9" w:sz="1"/>
              <w:bottom w:val="single" w:color="D9D9D9" w:sz="1"/>
              <w:right w:val="single" w:color="D9D9D9" w:sz="1"/>
            </w:tcBorders>
          </w:tcPr>
          <w:p>
            <w:r>
              <w:t xml:space="preserve">Review Frequency</w:t>
            </w:r>
          </w:p>
        </w:tc>
        <w:tc>
          <w:tcPr>
            <w:tcBorders>
              <w:top w:val="single" w:color="D9D9D9" w:sz="1"/>
              <w:left w:val="single" w:color="D9D9D9" w:sz="1"/>
              <w:bottom w:val="single" w:color="D9D9D9" w:sz="1"/>
              <w:right w:val="single" w:color="D9D9D9" w:sz="1"/>
            </w:tcBorders>
          </w:tcPr>
          <w:p>
            <w:r>
              <w:t xml:space="preserve">Quarterly or after major model/process change</w:t>
            </w:r>
          </w:p>
        </w:tc>
      </w:tr>
    </w:tbl>
    <w:p>
      <w:pPr>
        <w:pStyle w:val="Heading1"/>
        <w:spacing w:after="120" w:before="200"/>
      </w:pPr>
      <w:r>
        <w:t xml:space="preserve">1. Onboarding Objectives</w:t>
      </w:r>
    </w:p>
    <w:p>
      <w:pPr>
        <w:spacing w:after="120"/>
      </w:pPr>
      <w:r>
        <w:t xml:space="preserve">This handbook defines the mandatory steps to onboard a new authority safely, consistently, and in a governance-ready manner.</w:t>
      </w:r>
    </w:p>
    <w:p>
      <w:pPr>
        <w:pStyle w:val="ListParagraph"/>
        <w:numPr>
          <w:ilvl w:val="0"/>
          <w:numId w:val="1"/>
        </w:numPr>
        <w:spacing w:after="80"/>
      </w:pPr>
      <w:r>
        <w:t xml:space="preserve">Establish a controlled baseline dataset and assumptions set.</w:t>
      </w:r>
    </w:p>
    <w:p>
      <w:pPr>
        <w:pStyle w:val="ListParagraph"/>
        <w:numPr>
          <w:ilvl w:val="0"/>
          <w:numId w:val="1"/>
        </w:numPr>
        <w:spacing w:after="80"/>
      </w:pPr>
      <w:r>
        <w:t xml:space="preserve">Define roles, approval points, and decision logs before first governance use.</w:t>
      </w:r>
    </w:p>
    <w:p>
      <w:pPr>
        <w:pStyle w:val="ListParagraph"/>
        <w:numPr>
          <w:ilvl w:val="0"/>
          <w:numId w:val="1"/>
        </w:numPr>
        <w:spacing w:after="80"/>
      </w:pPr>
      <w:r>
        <w:t xml:space="preserve">Produce evidence-quality outputs suitable for Cabinet/Committee/Full Council cycles.</w:t>
      </w:r>
    </w:p>
    <w:p>
      <w:pPr>
        <w:pStyle w:val="Heading1"/>
        <w:spacing w:after="120" w:before="200"/>
      </w:pPr>
      <w:r>
        <w:t xml:space="preserve">2. Roles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9D9D9" w:sz="1"/>
              <w:left w:val="single" w:color="D9D9D9" w:sz="1"/>
              <w:bottom w:val="single" w:color="D9D9D9" w:sz="1"/>
              <w:right w:val="single" w:color="D9D9D9" w:sz="1"/>
            </w:tcBorders>
          </w:tcPr>
          <w:p>
            <w:r>
              <w:rPr>
                <w:b/>
                <w:bCs/>
              </w:rPr>
              <w:t xml:space="preserve">Role</w:t>
            </w:r>
          </w:p>
        </w:tc>
        <w:tc>
          <w:tcPr>
            <w:tcBorders>
              <w:top w:val="single" w:color="D9D9D9" w:sz="1"/>
              <w:left w:val="single" w:color="D9D9D9" w:sz="1"/>
              <w:bottom w:val="single" w:color="D9D9D9" w:sz="1"/>
              <w:right w:val="single" w:color="D9D9D9" w:sz="1"/>
            </w:tcBorders>
          </w:tcPr>
          <w:p>
            <w:r>
              <w:rPr>
                <w:b/>
                <w:bCs/>
              </w:rPr>
              <w:t xml:space="preserve">Mandatory Responsibilities</w:t>
            </w:r>
          </w:p>
        </w:tc>
        <w:tc>
          <w:tcPr>
            <w:tcBorders>
              <w:top w:val="single" w:color="D9D9D9" w:sz="1"/>
              <w:left w:val="single" w:color="D9D9D9" w:sz="1"/>
              <w:bottom w:val="single" w:color="D9D9D9" w:sz="1"/>
              <w:right w:val="single" w:color="D9D9D9" w:sz="1"/>
            </w:tcBorders>
          </w:tcPr>
          <w:p>
            <w:r>
              <w:rPr>
                <w:b/>
                <w:bCs/>
              </w:rPr>
              <w:t xml:space="preserve">Approval Authority</w:t>
            </w:r>
          </w:p>
        </w:tc>
      </w:tr>
      <w:tr>
        <w:tc>
          <w:tcPr>
            <w:tcBorders>
              <w:top w:val="single" w:color="D9D9D9" w:sz="1"/>
              <w:left w:val="single" w:color="D9D9D9" w:sz="1"/>
              <w:bottom w:val="single" w:color="D9D9D9" w:sz="1"/>
              <w:right w:val="single" w:color="D9D9D9" w:sz="1"/>
            </w:tcBorders>
          </w:tcPr>
          <w:p>
            <w:r>
              <w:t xml:space="preserve">Section 151 Officer</w:t>
            </w:r>
          </w:p>
        </w:tc>
        <w:tc>
          <w:tcPr>
            <w:tcBorders>
              <w:top w:val="single" w:color="D9D9D9" w:sz="1"/>
              <w:left w:val="single" w:color="D9D9D9" w:sz="1"/>
              <w:bottom w:val="single" w:color="D9D9D9" w:sz="1"/>
              <w:right w:val="single" w:color="D9D9D9" w:sz="1"/>
            </w:tcBorders>
          </w:tcPr>
          <w:p>
            <w:r>
              <w:t xml:space="preserve">Final sign-off of assumptions, reserves methodology, statutory assurance narrative</w:t>
            </w:r>
          </w:p>
        </w:tc>
        <w:tc>
          <w:tcPr>
            <w:tcBorders>
              <w:top w:val="single" w:color="D9D9D9" w:sz="1"/>
              <w:left w:val="single" w:color="D9D9D9" w:sz="1"/>
              <w:bottom w:val="single" w:color="D9D9D9" w:sz="1"/>
              <w:right w:val="single" w:color="D9D9D9" w:sz="1"/>
            </w:tcBorders>
          </w:tcPr>
          <w:p>
            <w:r>
              <w:t xml:space="preserve">Yes</w:t>
            </w:r>
          </w:p>
        </w:tc>
      </w:tr>
      <w:tr>
        <w:tc>
          <w:tcPr>
            <w:tcBorders>
              <w:top w:val="single" w:color="D9D9D9" w:sz="1"/>
              <w:left w:val="single" w:color="D9D9D9" w:sz="1"/>
              <w:bottom w:val="single" w:color="D9D9D9" w:sz="1"/>
              <w:right w:val="single" w:color="D9D9D9" w:sz="1"/>
            </w:tcBorders>
          </w:tcPr>
          <w:p>
            <w:r>
              <w:t xml:space="preserve">Finance Lead Analyst</w:t>
            </w:r>
          </w:p>
        </w:tc>
        <w:tc>
          <w:tcPr>
            <w:tcBorders>
              <w:top w:val="single" w:color="D9D9D9" w:sz="1"/>
              <w:left w:val="single" w:color="D9D9D9" w:sz="1"/>
              <w:bottom w:val="single" w:color="D9D9D9" w:sz="1"/>
              <w:right w:val="single" w:color="D9D9D9" w:sz="1"/>
            </w:tcBorders>
          </w:tcPr>
          <w:p>
            <w:r>
              <w:t xml:space="preserve">Model setup, data import, scenario preparation, reconciliation evidence</w:t>
            </w:r>
          </w:p>
        </w:tc>
        <w:tc>
          <w:tcPr>
            <w:tcBorders>
              <w:top w:val="single" w:color="D9D9D9" w:sz="1"/>
              <w:left w:val="single" w:color="D9D9D9" w:sz="1"/>
              <w:bottom w:val="single" w:color="D9D9D9" w:sz="1"/>
              <w:right w:val="single" w:color="D9D9D9" w:sz="1"/>
            </w:tcBorders>
          </w:tcPr>
          <w:p>
            <w:r>
              <w:t xml:space="preserve">No</w:t>
            </w:r>
          </w:p>
        </w:tc>
      </w:tr>
      <w:tr>
        <w:tc>
          <w:tcPr>
            <w:tcBorders>
              <w:top w:val="single" w:color="D9D9D9" w:sz="1"/>
              <w:left w:val="single" w:color="D9D9D9" w:sz="1"/>
              <w:bottom w:val="single" w:color="D9D9D9" w:sz="1"/>
              <w:right w:val="single" w:color="D9D9D9" w:sz="1"/>
            </w:tcBorders>
          </w:tcPr>
          <w:p>
            <w:r>
              <w:t xml:space="preserve">Service Finance Business Partners</w:t>
            </w:r>
          </w:p>
        </w:tc>
        <w:tc>
          <w:tcPr>
            <w:tcBorders>
              <w:top w:val="single" w:color="D9D9D9" w:sz="1"/>
              <w:left w:val="single" w:color="D9D9D9" w:sz="1"/>
              <w:bottom w:val="single" w:color="D9D9D9" w:sz="1"/>
              <w:right w:val="single" w:color="D9D9D9" w:sz="1"/>
            </w:tcBorders>
          </w:tcPr>
          <w:p>
            <w:r>
              <w:t xml:space="preserve">Validate service pressures and savings realism</w:t>
            </w:r>
          </w:p>
        </w:tc>
        <w:tc>
          <w:tcPr>
            <w:tcBorders>
              <w:top w:val="single" w:color="D9D9D9" w:sz="1"/>
              <w:left w:val="single" w:color="D9D9D9" w:sz="1"/>
              <w:bottom w:val="single" w:color="D9D9D9" w:sz="1"/>
              <w:right w:val="single" w:color="D9D9D9" w:sz="1"/>
            </w:tcBorders>
          </w:tcPr>
          <w:p>
            <w:r>
              <w:t xml:space="preserve">No</w:t>
            </w:r>
          </w:p>
        </w:tc>
      </w:tr>
      <w:tr>
        <w:tc>
          <w:tcPr>
            <w:tcBorders>
              <w:top w:val="single" w:color="D9D9D9" w:sz="1"/>
              <w:left w:val="single" w:color="D9D9D9" w:sz="1"/>
              <w:bottom w:val="single" w:color="D9D9D9" w:sz="1"/>
              <w:right w:val="single" w:color="D9D9D9" w:sz="1"/>
            </w:tcBorders>
          </w:tcPr>
          <w:p>
            <w:r>
              <w:t xml:space="preserve">Governance Secretariat</w:t>
            </w:r>
          </w:p>
        </w:tc>
        <w:tc>
          <w:tcPr>
            <w:tcBorders>
              <w:top w:val="single" w:color="D9D9D9" w:sz="1"/>
              <w:left w:val="single" w:color="D9D9D9" w:sz="1"/>
              <w:bottom w:val="single" w:color="D9D9D9" w:sz="1"/>
              <w:right w:val="single" w:color="D9D9D9" w:sz="1"/>
            </w:tcBorders>
          </w:tcPr>
          <w:p>
            <w:r>
              <w:t xml:space="preserve">Control versioning, issue logs, committee pack publication</w:t>
            </w:r>
          </w:p>
        </w:tc>
        <w:tc>
          <w:tcPr>
            <w:tcBorders>
              <w:top w:val="single" w:color="D9D9D9" w:sz="1"/>
              <w:left w:val="single" w:color="D9D9D9" w:sz="1"/>
              <w:bottom w:val="single" w:color="D9D9D9" w:sz="1"/>
              <w:right w:val="single" w:color="D9D9D9" w:sz="1"/>
            </w:tcBorders>
          </w:tcPr>
          <w:p>
            <w:r>
              <w:t xml:space="preserve">No</w:t>
            </w:r>
          </w:p>
        </w:tc>
      </w:tr>
      <w:tr>
        <w:tc>
          <w:tcPr>
            <w:tcBorders>
              <w:top w:val="single" w:color="D9D9D9" w:sz="1"/>
              <w:left w:val="single" w:color="D9D9D9" w:sz="1"/>
              <w:bottom w:val="single" w:color="D9D9D9" w:sz="1"/>
              <w:right w:val="single" w:color="D9D9D9" w:sz="1"/>
            </w:tcBorders>
          </w:tcPr>
          <w:p>
            <w:r>
              <w:t xml:space="preserve">Internal Audit Liaison</w:t>
            </w:r>
          </w:p>
        </w:tc>
        <w:tc>
          <w:tcPr>
            <w:tcBorders>
              <w:top w:val="single" w:color="D9D9D9" w:sz="1"/>
              <w:left w:val="single" w:color="D9D9D9" w:sz="1"/>
              <w:bottom w:val="single" w:color="D9D9D9" w:sz="1"/>
              <w:right w:val="single" w:color="D9D9D9" w:sz="1"/>
            </w:tcBorders>
          </w:tcPr>
          <w:p>
            <w:r>
              <w:t xml:space="preserve">Sampling of audit trail and model change evidence</w:t>
            </w:r>
          </w:p>
        </w:tc>
        <w:tc>
          <w:tcPr>
            <w:tcBorders>
              <w:top w:val="single" w:color="D9D9D9" w:sz="1"/>
              <w:left w:val="single" w:color="D9D9D9" w:sz="1"/>
              <w:bottom w:val="single" w:color="D9D9D9" w:sz="1"/>
              <w:right w:val="single" w:color="D9D9D9" w:sz="1"/>
            </w:tcBorders>
          </w:tcPr>
          <w:p>
            <w:r>
              <w:t xml:space="preserve">No</w:t>
            </w:r>
          </w:p>
        </w:tc>
      </w:tr>
    </w:tbl>
    <w:p>
      <w:pPr>
        <w:pStyle w:val="Heading1"/>
        <w:spacing w:after="120" w:before="200"/>
      </w:pPr>
      <w:r>
        <w:t xml:space="preserve">3. Entry Criteria Before Configuration</w:t>
      </w:r>
    </w:p>
    <w:p>
      <w:pPr>
        <w:pStyle w:val="ListParagraph"/>
        <w:numPr>
          <w:ilvl w:val="0"/>
          <w:numId w:val="2"/>
        </w:numPr>
        <w:spacing w:after="80"/>
      </w:pPr>
      <w:r>
        <w:t xml:space="preserve">Confirm authority reporting period and governance timetable.</w:t>
      </w:r>
    </w:p>
    <w:p>
      <w:pPr>
        <w:pStyle w:val="ListParagraph"/>
        <w:numPr>
          <w:ilvl w:val="0"/>
          <w:numId w:val="2"/>
        </w:numPr>
        <w:spacing w:after="80"/>
      </w:pPr>
      <w:r>
        <w:t xml:space="preserve">Confirm owner list and delegated authorities for model changes.</w:t>
      </w:r>
    </w:p>
    <w:p>
      <w:pPr>
        <w:pStyle w:val="ListParagraph"/>
        <w:numPr>
          <w:ilvl w:val="0"/>
          <w:numId w:val="2"/>
        </w:numPr>
        <w:spacing w:after="80"/>
      </w:pPr>
      <w:r>
        <w:t xml:space="preserve">Gather source packs: approved budget, prior-year outturn, current MTFS, reserves policy, savings tracker.</w:t>
      </w:r>
    </w:p>
    <w:p>
      <w:pPr>
        <w:pStyle w:val="ListParagraph"/>
        <w:numPr>
          <w:ilvl w:val="0"/>
          <w:numId w:val="2"/>
        </w:numPr>
        <w:spacing w:after="80"/>
      </w:pPr>
      <w:r>
        <w:t xml:space="preserve">Create controlled working folder structure for all imports/exports.</w:t>
      </w:r>
    </w:p>
    <w:p>
      <w:pPr>
        <w:pStyle w:val="ListParagraph"/>
        <w:numPr>
          <w:ilvl w:val="0"/>
          <w:numId w:val="2"/>
        </w:numPr>
        <w:spacing w:after="80"/>
      </w:pPr>
      <w:r>
        <w:t xml:space="preserve">Define naming convention for snapshots and scenarios.</w:t>
      </w:r>
    </w:p>
    <w:p>
      <w:pPr>
        <w:pStyle w:val="Heading1"/>
        <w:spacing w:after="120" w:before="200"/>
      </w:pPr>
      <w:r>
        <w:t xml:space="preserve">4. Technical Setup Checklist</w:t>
      </w:r>
    </w:p>
    <w:p>
      <w:pPr>
        <w:pStyle w:val="ListParagraph"/>
        <w:numPr>
          <w:ilvl w:val="0"/>
          <w:numId w:val="2"/>
        </w:numPr>
        <w:spacing w:after="80"/>
      </w:pPr>
      <w:r>
        <w:t xml:space="preserve">Install Node.js (v20+) and npm (v10+).</w:t>
      </w:r>
    </w:p>
    <w:p>
      <w:pPr>
        <w:pStyle w:val="ListParagraph"/>
        <w:numPr>
          <w:ilvl w:val="0"/>
          <w:numId w:val="2"/>
        </w:numPr>
        <w:spacing w:after="80"/>
      </w:pPr>
      <w:r>
        <w:t xml:space="preserve">Run `npm install` in project root.</w:t>
      </w:r>
    </w:p>
    <w:p>
      <w:pPr>
        <w:pStyle w:val="ListParagraph"/>
        <w:numPr>
          <w:ilvl w:val="0"/>
          <w:numId w:val="2"/>
        </w:numPr>
        <w:spacing w:after="80"/>
      </w:pPr>
      <w:r>
        <w:t xml:space="preserve">Run `npm run dev` and verify application launches.</w:t>
      </w:r>
    </w:p>
    <w:p>
      <w:pPr>
        <w:pStyle w:val="ListParagraph"/>
        <w:numPr>
          <w:ilvl w:val="0"/>
          <w:numId w:val="2"/>
        </w:numPr>
        <w:spacing w:after="80"/>
      </w:pPr>
      <w:r>
        <w:t xml:space="preserve">Run `npm run lint`, `npm run test`, and `npm run build`; archive outputs.</w:t>
      </w:r>
    </w:p>
    <w:p>
      <w:pPr>
        <w:pStyle w:val="ListParagraph"/>
        <w:numPr>
          <w:ilvl w:val="0"/>
          <w:numId w:val="2"/>
        </w:numPr>
        <w:spacing w:after="80"/>
      </w:pPr>
      <w:r>
        <w:t xml:space="preserve">Record software version, date, and setup owner in implementation log.</w:t>
      </w:r>
    </w:p>
    <w:p>
      <w:pPr>
        <w:pStyle w:val="Heading1"/>
        <w:spacing w:after="120" w:before="200"/>
      </w:pPr>
      <w:r>
        <w:t xml:space="preserve">5. Data Onboarding Procedure (Prescriptive)</w:t>
      </w:r>
    </w:p>
    <w:p>
      <w:pPr>
        <w:spacing w:after="120"/>
      </w:pPr>
      <w:r>
        <w:t xml:space="preserve">Perform the following in order. Do not skip sign-off points.</w:t>
      </w:r>
    </w:p>
    <w:p>
      <w:pPr>
        <w:pStyle w:val="ListParagraph"/>
        <w:numPr>
          <w:ilvl w:val="0"/>
          <w:numId w:val="2"/>
        </w:numPr>
        <w:spacing w:after="80"/>
      </w:pPr>
      <w:r>
        <w:t xml:space="preserve">Load baseline data using the Baseline Configuration import template.</w:t>
      </w:r>
    </w:p>
    <w:p>
      <w:pPr>
        <w:pStyle w:val="ListParagraph"/>
        <w:numPr>
          <w:ilvl w:val="0"/>
          <w:numId w:val="2"/>
        </w:numPr>
        <w:spacing w:after="80"/>
      </w:pPr>
      <w:r>
        <w:t xml:space="preserve">Reconcile imported totals to source budget lines (difference tolerance: zero unless documented).</w:t>
      </w:r>
    </w:p>
    <w:p>
      <w:pPr>
        <w:pStyle w:val="ListParagraph"/>
        <w:numPr>
          <w:ilvl w:val="0"/>
          <w:numId w:val="2"/>
        </w:numPr>
        <w:spacing w:after="80"/>
      </w:pPr>
      <w:r>
        <w:t xml:space="preserve">Populate authority metadata (name, S151 officer, reporting period).</w:t>
      </w:r>
    </w:p>
    <w:p>
      <w:pPr>
        <w:pStyle w:val="ListParagraph"/>
        <w:numPr>
          <w:ilvl w:val="0"/>
          <w:numId w:val="2"/>
        </w:numPr>
        <w:spacing w:after="80"/>
      </w:pPr>
      <w:r>
        <w:t xml:space="preserve">Configure reserves methodology and thresholds per approved local policy.</w:t>
      </w:r>
    </w:p>
    <w:p>
      <w:pPr>
        <w:pStyle w:val="ListParagraph"/>
        <w:numPr>
          <w:ilvl w:val="0"/>
          <w:numId w:val="2"/>
        </w:numPr>
        <w:spacing w:after="80"/>
      </w:pPr>
      <w:r>
        <w:t xml:space="preserve">Input savings proposals with owner, phasing, and RAG confidence.</w:t>
      </w:r>
    </w:p>
    <w:p>
      <w:pPr>
        <w:pStyle w:val="ListParagraph"/>
        <w:numPr>
          <w:ilvl w:val="0"/>
          <w:numId w:val="2"/>
        </w:numPr>
        <w:spacing w:after="80"/>
      </w:pPr>
      <w:r>
        <w:t xml:space="preserve">Configure demand and inflation assumptions with evidence references.</w:t>
      </w:r>
    </w:p>
    <w:p>
      <w:pPr>
        <w:pStyle w:val="ListParagraph"/>
        <w:numPr>
          <w:ilvl w:val="0"/>
          <w:numId w:val="2"/>
        </w:numPr>
        <w:spacing w:after="80"/>
      </w:pPr>
      <w:r>
        <w:t xml:space="preserve">Save first controlled snapshot as `01_BASELINE_LOCKED_[date]`.</w:t>
      </w:r>
    </w:p>
    <w:p>
      <w:pPr>
        <w:pStyle w:val="Heading1"/>
        <w:spacing w:after="120" w:before="200"/>
      </w:pPr>
      <w:r>
        <w:t xml:space="preserve">6. Validation and Quality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9D9D9" w:sz="1"/>
              <w:left w:val="single" w:color="D9D9D9" w:sz="1"/>
              <w:bottom w:val="single" w:color="D9D9D9" w:sz="1"/>
              <w:right w:val="single" w:color="D9D9D9" w:sz="1"/>
            </w:tcBorders>
          </w:tcPr>
          <w:p>
            <w:r>
              <w:rPr>
                <w:b/>
                <w:bCs/>
              </w:rPr>
              <w:t xml:space="preserve">Gate</w:t>
            </w:r>
          </w:p>
        </w:tc>
        <w:tc>
          <w:tcPr>
            <w:tcBorders>
              <w:top w:val="single" w:color="D9D9D9" w:sz="1"/>
              <w:left w:val="single" w:color="D9D9D9" w:sz="1"/>
              <w:bottom w:val="single" w:color="D9D9D9" w:sz="1"/>
              <w:right w:val="single" w:color="D9D9D9" w:sz="1"/>
            </w:tcBorders>
          </w:tcPr>
          <w:p>
            <w:r>
              <w:rPr>
                <w:b/>
                <w:bCs/>
              </w:rPr>
              <w:t xml:space="preserve">Test</w:t>
            </w:r>
          </w:p>
        </w:tc>
        <w:tc>
          <w:tcPr>
            <w:tcBorders>
              <w:top w:val="single" w:color="D9D9D9" w:sz="1"/>
              <w:left w:val="single" w:color="D9D9D9" w:sz="1"/>
              <w:bottom w:val="single" w:color="D9D9D9" w:sz="1"/>
              <w:right w:val="single" w:color="D9D9D9" w:sz="1"/>
            </w:tcBorders>
          </w:tcPr>
          <w:p>
            <w:r>
              <w:rPr>
                <w:b/>
                <w:bCs/>
              </w:rPr>
              <w:t xml:space="preserve">Pass Rule</w:t>
            </w:r>
          </w:p>
        </w:tc>
        <w:tc>
          <w:tcPr>
            <w:tcBorders>
              <w:top w:val="single" w:color="D9D9D9" w:sz="1"/>
              <w:left w:val="single" w:color="D9D9D9" w:sz="1"/>
              <w:bottom w:val="single" w:color="D9D9D9" w:sz="1"/>
              <w:right w:val="single" w:color="D9D9D9" w:sz="1"/>
            </w:tcBorders>
          </w:tcPr>
          <w:p>
            <w:r>
              <w:rPr>
                <w:b/>
                <w:bCs/>
              </w:rPr>
              <w:t xml:space="preserve">Evidence Required</w:t>
            </w:r>
          </w:p>
        </w:tc>
      </w:tr>
      <w:tr>
        <w:tc>
          <w:tcPr>
            <w:tcBorders>
              <w:top w:val="single" w:color="D9D9D9" w:sz="1"/>
              <w:left w:val="single" w:color="D9D9D9" w:sz="1"/>
              <w:bottom w:val="single" w:color="D9D9D9" w:sz="1"/>
              <w:right w:val="single" w:color="D9D9D9" w:sz="1"/>
            </w:tcBorders>
          </w:tcPr>
          <w:p>
            <w:r>
              <w:t xml:space="preserve">G1</w:t>
            </w:r>
          </w:p>
        </w:tc>
        <w:tc>
          <w:tcPr>
            <w:tcBorders>
              <w:top w:val="single" w:color="D9D9D9" w:sz="1"/>
              <w:left w:val="single" w:color="D9D9D9" w:sz="1"/>
              <w:bottom w:val="single" w:color="D9D9D9" w:sz="1"/>
              <w:right w:val="single" w:color="D9D9D9" w:sz="1"/>
            </w:tcBorders>
          </w:tcPr>
          <w:p>
            <w:r>
              <w:t xml:space="preserve">Arithmetic integrity</w:t>
            </w:r>
          </w:p>
        </w:tc>
        <w:tc>
          <w:tcPr>
            <w:tcBorders>
              <w:top w:val="single" w:color="D9D9D9" w:sz="1"/>
              <w:left w:val="single" w:color="D9D9D9" w:sz="1"/>
              <w:bottom w:val="single" w:color="D9D9D9" w:sz="1"/>
              <w:right w:val="single" w:color="D9D9D9" w:sz="1"/>
            </w:tcBorders>
          </w:tcPr>
          <w:p>
            <w:r>
              <w:t xml:space="preserve">No calculation errors, all panels render</w:t>
            </w:r>
          </w:p>
        </w:tc>
        <w:tc>
          <w:tcPr>
            <w:tcBorders>
              <w:top w:val="single" w:color="D9D9D9" w:sz="1"/>
              <w:left w:val="single" w:color="D9D9D9" w:sz="1"/>
              <w:bottom w:val="single" w:color="D9D9D9" w:sz="1"/>
              <w:right w:val="single" w:color="D9D9D9" w:sz="1"/>
            </w:tcBorders>
          </w:tcPr>
          <w:p>
            <w:r>
              <w:t xml:space="preserve">Build/test/lint logs</w:t>
            </w:r>
          </w:p>
        </w:tc>
      </w:tr>
      <w:tr>
        <w:tc>
          <w:tcPr>
            <w:tcBorders>
              <w:top w:val="single" w:color="D9D9D9" w:sz="1"/>
              <w:left w:val="single" w:color="D9D9D9" w:sz="1"/>
              <w:bottom w:val="single" w:color="D9D9D9" w:sz="1"/>
              <w:right w:val="single" w:color="D9D9D9" w:sz="1"/>
            </w:tcBorders>
          </w:tcPr>
          <w:p>
            <w:r>
              <w:t xml:space="preserve">G2</w:t>
            </w:r>
          </w:p>
        </w:tc>
        <w:tc>
          <w:tcPr>
            <w:tcBorders>
              <w:top w:val="single" w:color="D9D9D9" w:sz="1"/>
              <w:left w:val="single" w:color="D9D9D9" w:sz="1"/>
              <w:bottom w:val="single" w:color="D9D9D9" w:sz="1"/>
              <w:right w:val="single" w:color="D9D9D9" w:sz="1"/>
            </w:tcBorders>
          </w:tcPr>
          <w:p>
            <w:r>
              <w:t xml:space="preserve">Data reconciliation</w:t>
            </w:r>
          </w:p>
        </w:tc>
        <w:tc>
          <w:tcPr>
            <w:tcBorders>
              <w:top w:val="single" w:color="D9D9D9" w:sz="1"/>
              <w:left w:val="single" w:color="D9D9D9" w:sz="1"/>
              <w:bottom w:val="single" w:color="D9D9D9" w:sz="1"/>
              <w:right w:val="single" w:color="D9D9D9" w:sz="1"/>
            </w:tcBorders>
          </w:tcPr>
          <w:p>
            <w:r>
              <w:t xml:space="preserve">Imported totals tie to source packs</w:t>
            </w:r>
          </w:p>
        </w:tc>
        <w:tc>
          <w:tcPr>
            <w:tcBorders>
              <w:top w:val="single" w:color="D9D9D9" w:sz="1"/>
              <w:left w:val="single" w:color="D9D9D9" w:sz="1"/>
              <w:bottom w:val="single" w:color="D9D9D9" w:sz="1"/>
              <w:right w:val="single" w:color="D9D9D9" w:sz="1"/>
            </w:tcBorders>
          </w:tcPr>
          <w:p>
            <w:r>
              <w:t xml:space="preserve">Reconciliation worksheet</w:t>
            </w:r>
          </w:p>
        </w:tc>
      </w:tr>
      <w:tr>
        <w:tc>
          <w:tcPr>
            <w:tcBorders>
              <w:top w:val="single" w:color="D9D9D9" w:sz="1"/>
              <w:left w:val="single" w:color="D9D9D9" w:sz="1"/>
              <w:bottom w:val="single" w:color="D9D9D9" w:sz="1"/>
              <w:right w:val="single" w:color="D9D9D9" w:sz="1"/>
            </w:tcBorders>
          </w:tcPr>
          <w:p>
            <w:r>
              <w:t xml:space="preserve">G3</w:t>
            </w:r>
          </w:p>
        </w:tc>
        <w:tc>
          <w:tcPr>
            <w:tcBorders>
              <w:top w:val="single" w:color="D9D9D9" w:sz="1"/>
              <w:left w:val="single" w:color="D9D9D9" w:sz="1"/>
              <w:bottom w:val="single" w:color="D9D9D9" w:sz="1"/>
              <w:right w:val="single" w:color="D9D9D9" w:sz="1"/>
            </w:tcBorders>
          </w:tcPr>
          <w:p>
            <w:r>
              <w:t xml:space="preserve">Assumption governance</w:t>
            </w:r>
          </w:p>
        </w:tc>
        <w:tc>
          <w:tcPr>
            <w:tcBorders>
              <w:top w:val="single" w:color="D9D9D9" w:sz="1"/>
              <w:left w:val="single" w:color="D9D9D9" w:sz="1"/>
              <w:bottom w:val="single" w:color="D9D9D9" w:sz="1"/>
              <w:right w:val="single" w:color="D9D9D9" w:sz="1"/>
            </w:tcBorders>
          </w:tcPr>
          <w:p>
            <w:r>
              <w:t xml:space="preserve">Assumptions approved by S151 delegate</w:t>
            </w:r>
          </w:p>
        </w:tc>
        <w:tc>
          <w:tcPr>
            <w:tcBorders>
              <w:top w:val="single" w:color="D9D9D9" w:sz="1"/>
              <w:left w:val="single" w:color="D9D9D9" w:sz="1"/>
              <w:bottom w:val="single" w:color="D9D9D9" w:sz="1"/>
              <w:right w:val="single" w:color="D9D9D9" w:sz="1"/>
            </w:tcBorders>
          </w:tcPr>
          <w:p>
            <w:r>
              <w:t xml:space="preserve">Signed assumption register</w:t>
            </w:r>
          </w:p>
        </w:tc>
      </w:tr>
      <w:tr>
        <w:tc>
          <w:tcPr>
            <w:tcBorders>
              <w:top w:val="single" w:color="D9D9D9" w:sz="1"/>
              <w:left w:val="single" w:color="D9D9D9" w:sz="1"/>
              <w:bottom w:val="single" w:color="D9D9D9" w:sz="1"/>
              <w:right w:val="single" w:color="D9D9D9" w:sz="1"/>
            </w:tcBorders>
          </w:tcPr>
          <w:p>
            <w:r>
              <w:t xml:space="preserve">G4</w:t>
            </w:r>
          </w:p>
        </w:tc>
        <w:tc>
          <w:tcPr>
            <w:tcBorders>
              <w:top w:val="single" w:color="D9D9D9" w:sz="1"/>
              <w:left w:val="single" w:color="D9D9D9" w:sz="1"/>
              <w:bottom w:val="single" w:color="D9D9D9" w:sz="1"/>
              <w:right w:val="single" w:color="D9D9D9" w:sz="1"/>
            </w:tcBorders>
          </w:tcPr>
          <w:p>
            <w:r>
              <w:t xml:space="preserve">Scenario comparability</w:t>
            </w:r>
          </w:p>
        </w:tc>
        <w:tc>
          <w:tcPr>
            <w:tcBorders>
              <w:top w:val="single" w:color="D9D9D9" w:sz="1"/>
              <w:left w:val="single" w:color="D9D9D9" w:sz="1"/>
              <w:bottom w:val="single" w:color="D9D9D9" w:sz="1"/>
              <w:right w:val="single" w:color="D9D9D9" w:sz="1"/>
            </w:tcBorders>
          </w:tcPr>
          <w:p>
            <w:r>
              <w:t xml:space="preserve">At least Base/Optimistic/Pessimistic scenarios prepared</w:t>
            </w:r>
          </w:p>
        </w:tc>
        <w:tc>
          <w:tcPr>
            <w:tcBorders>
              <w:top w:val="single" w:color="D9D9D9" w:sz="1"/>
              <w:left w:val="single" w:color="D9D9D9" w:sz="1"/>
              <w:bottom w:val="single" w:color="D9D9D9" w:sz="1"/>
              <w:right w:val="single" w:color="D9D9D9" w:sz="1"/>
            </w:tcBorders>
          </w:tcPr>
          <w:p>
            <w:r>
              <w:t xml:space="preserve">Scenario summary export</w:t>
            </w:r>
          </w:p>
        </w:tc>
      </w:tr>
      <w:tr>
        <w:tc>
          <w:tcPr>
            <w:tcBorders>
              <w:top w:val="single" w:color="D9D9D9" w:sz="1"/>
              <w:left w:val="single" w:color="D9D9D9" w:sz="1"/>
              <w:bottom w:val="single" w:color="D9D9D9" w:sz="1"/>
              <w:right w:val="single" w:color="D9D9D9" w:sz="1"/>
            </w:tcBorders>
          </w:tcPr>
          <w:p>
            <w:r>
              <w:t xml:space="preserve">G5</w:t>
            </w:r>
          </w:p>
        </w:tc>
        <w:tc>
          <w:tcPr>
            <w:tcBorders>
              <w:top w:val="single" w:color="D9D9D9" w:sz="1"/>
              <w:left w:val="single" w:color="D9D9D9" w:sz="1"/>
              <w:bottom w:val="single" w:color="D9D9D9" w:sz="1"/>
              <w:right w:val="single" w:color="D9D9D9" w:sz="1"/>
            </w:tcBorders>
          </w:tcPr>
          <w:p>
            <w:r>
              <w:t xml:space="preserve">Output suitability</w:t>
            </w:r>
          </w:p>
        </w:tc>
        <w:tc>
          <w:tcPr>
            <w:tcBorders>
              <w:top w:val="single" w:color="D9D9D9" w:sz="1"/>
              <w:left w:val="single" w:color="D9D9D9" w:sz="1"/>
              <w:bottom w:val="single" w:color="D9D9D9" w:sz="1"/>
              <w:right w:val="single" w:color="D9D9D9" w:sz="1"/>
            </w:tcBorders>
          </w:tcPr>
          <w:p>
            <w:r>
              <w:t xml:space="preserve">Committee/Premium brief readable and complete</w:t>
            </w:r>
          </w:p>
        </w:tc>
        <w:tc>
          <w:tcPr>
            <w:tcBorders>
              <w:top w:val="single" w:color="D9D9D9" w:sz="1"/>
              <w:left w:val="single" w:color="D9D9D9" w:sz="1"/>
              <w:bottom w:val="single" w:color="D9D9D9" w:sz="1"/>
              <w:right w:val="single" w:color="D9D9D9" w:sz="1"/>
            </w:tcBorders>
          </w:tcPr>
          <w:p>
            <w:r>
              <w:t xml:space="preserve">PDF outputs archived</w:t>
            </w:r>
          </w:p>
        </w:tc>
      </w:tr>
    </w:tbl>
    <w:p>
      <w:pPr>
        <w:pStyle w:val="Heading1"/>
        <w:spacing w:after="120" w:before="200"/>
      </w:pPr>
      <w:r>
        <w:t xml:space="preserve">7. Mandatory Scenario Set</w:t>
      </w:r>
    </w:p>
    <w:p>
      <w:pPr>
        <w:pStyle w:val="ListParagraph"/>
        <w:numPr>
          <w:ilvl w:val="0"/>
          <w:numId w:val="1"/>
        </w:numPr>
        <w:spacing w:after="80"/>
      </w:pPr>
      <w:r>
        <w:t xml:space="preserve">Base Case: approved central assumptions.</w:t>
      </w:r>
    </w:p>
    <w:p>
      <w:pPr>
        <w:pStyle w:val="ListParagraph"/>
        <w:numPr>
          <w:ilvl w:val="0"/>
          <w:numId w:val="1"/>
        </w:numPr>
        <w:spacing w:after="80"/>
      </w:pPr>
      <w:r>
        <w:t xml:space="preserve">Optimistic Case: controlled upside assumptions, still plausible.</w:t>
      </w:r>
    </w:p>
    <w:p>
      <w:pPr>
        <w:pStyle w:val="ListParagraph"/>
        <w:numPr>
          <w:ilvl w:val="0"/>
          <w:numId w:val="1"/>
        </w:numPr>
        <w:spacing w:after="80"/>
      </w:pPr>
      <w:r>
        <w:t xml:space="preserve">Pessimistic Case: downside stress assumptions with explicit risk notes.</w:t>
      </w:r>
    </w:p>
    <w:p>
      <w:pPr>
        <w:pStyle w:val="ListParagraph"/>
        <w:numPr>
          <w:ilvl w:val="0"/>
          <w:numId w:val="1"/>
        </w:numPr>
        <w:spacing w:after="80"/>
      </w:pPr>
      <w:r>
        <w:t xml:space="preserve">Combined Stress Case: concurrent adverse movements for resilience testing.</w:t>
      </w:r>
    </w:p>
    <w:p>
      <w:pPr>
        <w:pStyle w:val="Heading1"/>
        <w:spacing w:after="120" w:before="200"/>
      </w:pPr>
      <w:r>
        <w:t xml:space="preserve">8. Governance Runbook</w:t>
      </w:r>
    </w:p>
    <w:p>
      <w:pPr>
        <w:pStyle w:val="ListParagraph"/>
        <w:numPr>
          <w:ilvl w:val="0"/>
          <w:numId w:val="2"/>
        </w:numPr>
        <w:spacing w:after="80"/>
      </w:pPr>
      <w:r>
        <w:t xml:space="preserve">Freeze assumptions cut-off date before committee cycle.</w:t>
      </w:r>
    </w:p>
    <w:p>
      <w:pPr>
        <w:pStyle w:val="ListParagraph"/>
        <w:numPr>
          <w:ilvl w:val="0"/>
          <w:numId w:val="2"/>
        </w:numPr>
        <w:spacing w:after="80"/>
      </w:pPr>
      <w:r>
        <w:t xml:space="preserve">Generate Decision Pack PDF and governance exports from frozen snapshot only.</w:t>
      </w:r>
    </w:p>
    <w:p>
      <w:pPr>
        <w:pStyle w:val="ListParagraph"/>
        <w:numPr>
          <w:ilvl w:val="0"/>
          <w:numId w:val="2"/>
        </w:numPr>
        <w:spacing w:after="80"/>
      </w:pPr>
      <w:r>
        <w:t xml:space="preserve">Review all red/amber items with responsible officer actions attached.</w:t>
      </w:r>
    </w:p>
    <w:p>
      <w:pPr>
        <w:pStyle w:val="ListParagraph"/>
        <w:numPr>
          <w:ilvl w:val="0"/>
          <w:numId w:val="2"/>
        </w:numPr>
        <w:spacing w:after="80"/>
      </w:pPr>
      <w:r>
        <w:t xml:space="preserve">Publish pack with version identifier and issue log reference.</w:t>
      </w:r>
    </w:p>
    <w:p>
      <w:pPr>
        <w:pStyle w:val="ListParagraph"/>
        <w:numPr>
          <w:ilvl w:val="0"/>
          <w:numId w:val="2"/>
        </w:numPr>
        <w:spacing w:after="80"/>
      </w:pPr>
      <w:r>
        <w:t xml:space="preserve">Post-committee: save approved snapshot and action-tracker scenario.</w:t>
      </w:r>
    </w:p>
    <w:p>
      <w:pPr>
        <w:pStyle w:val="Heading1"/>
        <w:spacing w:after="120" w:before="200"/>
      </w:pPr>
      <w:r>
        <w:t xml:space="preserve">9. Audit and Records Management</w:t>
      </w:r>
    </w:p>
    <w:p>
      <w:pPr>
        <w:pStyle w:val="ListParagraph"/>
        <w:numPr>
          <w:ilvl w:val="0"/>
          <w:numId w:val="1"/>
        </w:numPr>
        <w:spacing w:after="80"/>
      </w:pPr>
      <w:r>
        <w:t xml:space="preserve">Store all imports, exports, and snapshots in controlled folders.</w:t>
      </w:r>
    </w:p>
    <w:p>
      <w:pPr>
        <w:pStyle w:val="ListParagraph"/>
        <w:numPr>
          <w:ilvl w:val="0"/>
          <w:numId w:val="1"/>
        </w:numPr>
        <w:spacing w:after="80"/>
      </w:pPr>
      <w:r>
        <w:t xml:space="preserve">Retain signed assumption register and reconciliation workbook.</w:t>
      </w:r>
    </w:p>
    <w:p>
      <w:pPr>
        <w:pStyle w:val="ListParagraph"/>
        <w:numPr>
          <w:ilvl w:val="0"/>
          <w:numId w:val="1"/>
        </w:numPr>
        <w:spacing w:after="80"/>
      </w:pPr>
      <w:r>
        <w:t xml:space="preserve">Maintain immutable change log for all material assumption updates.</w:t>
      </w:r>
    </w:p>
    <w:p>
      <w:pPr>
        <w:pStyle w:val="ListParagraph"/>
        <w:numPr>
          <w:ilvl w:val="0"/>
          <w:numId w:val="1"/>
        </w:numPr>
        <w:spacing w:after="80"/>
      </w:pPr>
      <w:r>
        <w:t xml:space="preserve">Retain committee pack source snapshot ID in minutes record.</w:t>
      </w:r>
    </w:p>
    <w:p>
      <w:pPr>
        <w:pStyle w:val="Heading1"/>
        <w:spacing w:after="120" w:before="200"/>
      </w:pPr>
      <w:r>
        <w:t xml:space="preserve">10. First 30 Days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D9D9D9" w:sz="1"/>
              <w:left w:val="single" w:color="D9D9D9" w:sz="1"/>
              <w:bottom w:val="single" w:color="D9D9D9" w:sz="1"/>
              <w:right w:val="single" w:color="D9D9D9" w:sz="1"/>
            </w:tcBorders>
          </w:tcPr>
          <w:p>
            <w:r>
              <w:rPr>
                <w:b/>
                <w:bCs/>
              </w:rPr>
              <w:t xml:space="preserve">Week</w:t>
            </w:r>
          </w:p>
        </w:tc>
        <w:tc>
          <w:tcPr>
            <w:tcBorders>
              <w:top w:val="single" w:color="D9D9D9" w:sz="1"/>
              <w:left w:val="single" w:color="D9D9D9" w:sz="1"/>
              <w:bottom w:val="single" w:color="D9D9D9" w:sz="1"/>
              <w:right w:val="single" w:color="D9D9D9" w:sz="1"/>
            </w:tcBorders>
          </w:tcPr>
          <w:p>
            <w:r>
              <w:rPr>
                <w:b/>
                <w:bCs/>
              </w:rPr>
              <w:t xml:space="preserve">Mandatory Deliverables</w:t>
            </w:r>
          </w:p>
        </w:tc>
      </w:tr>
      <w:tr>
        <w:tc>
          <w:tcPr>
            <w:tcBorders>
              <w:top w:val="single" w:color="D9D9D9" w:sz="1"/>
              <w:left w:val="single" w:color="D9D9D9" w:sz="1"/>
              <w:bottom w:val="single" w:color="D9D9D9" w:sz="1"/>
              <w:right w:val="single" w:color="D9D9D9" w:sz="1"/>
            </w:tcBorders>
          </w:tcPr>
          <w:p>
            <w:r>
              <w:t xml:space="preserve">Week 1</w:t>
            </w:r>
          </w:p>
        </w:tc>
        <w:tc>
          <w:tcPr>
            <w:tcBorders>
              <w:top w:val="single" w:color="D9D9D9" w:sz="1"/>
              <w:left w:val="single" w:color="D9D9D9" w:sz="1"/>
              <w:bottom w:val="single" w:color="D9D9D9" w:sz="1"/>
              <w:right w:val="single" w:color="D9D9D9" w:sz="1"/>
            </w:tcBorders>
          </w:tcPr>
          <w:p>
            <w:r>
              <w:t xml:space="preserve">Technical setup complete, baseline import template populated, G1 pass</w:t>
            </w:r>
          </w:p>
        </w:tc>
      </w:tr>
      <w:tr>
        <w:tc>
          <w:tcPr>
            <w:tcBorders>
              <w:top w:val="single" w:color="D9D9D9" w:sz="1"/>
              <w:left w:val="single" w:color="D9D9D9" w:sz="1"/>
              <w:bottom w:val="single" w:color="D9D9D9" w:sz="1"/>
              <w:right w:val="single" w:color="D9D9D9" w:sz="1"/>
            </w:tcBorders>
          </w:tcPr>
          <w:p>
            <w:r>
              <w:t xml:space="preserve">Week 2</w:t>
            </w:r>
          </w:p>
        </w:tc>
        <w:tc>
          <w:tcPr>
            <w:tcBorders>
              <w:top w:val="single" w:color="D9D9D9" w:sz="1"/>
              <w:left w:val="single" w:color="D9D9D9" w:sz="1"/>
              <w:bottom w:val="single" w:color="D9D9D9" w:sz="1"/>
              <w:right w:val="single" w:color="D9D9D9" w:sz="1"/>
            </w:tcBorders>
          </w:tcPr>
          <w:p>
            <w:r>
              <w:t xml:space="preserve">Reconciliation complete, assumptions drafted, G2/G3 pass</w:t>
            </w:r>
          </w:p>
        </w:tc>
      </w:tr>
      <w:tr>
        <w:tc>
          <w:tcPr>
            <w:tcBorders>
              <w:top w:val="single" w:color="D9D9D9" w:sz="1"/>
              <w:left w:val="single" w:color="D9D9D9" w:sz="1"/>
              <w:bottom w:val="single" w:color="D9D9D9" w:sz="1"/>
              <w:right w:val="single" w:color="D9D9D9" w:sz="1"/>
            </w:tcBorders>
          </w:tcPr>
          <w:p>
            <w:r>
              <w:t xml:space="preserve">Week 3</w:t>
            </w:r>
          </w:p>
        </w:tc>
        <w:tc>
          <w:tcPr>
            <w:tcBorders>
              <w:top w:val="single" w:color="D9D9D9" w:sz="1"/>
              <w:left w:val="single" w:color="D9D9D9" w:sz="1"/>
              <w:bottom w:val="single" w:color="D9D9D9" w:sz="1"/>
              <w:right w:val="single" w:color="D9D9D9" w:sz="1"/>
            </w:tcBorders>
          </w:tcPr>
          <w:p>
            <w:r>
              <w:t xml:space="preserve">Scenarios completed, stress tests run, G4 pass</w:t>
            </w:r>
          </w:p>
        </w:tc>
      </w:tr>
      <w:tr>
        <w:tc>
          <w:tcPr>
            <w:tcBorders>
              <w:top w:val="single" w:color="D9D9D9" w:sz="1"/>
              <w:left w:val="single" w:color="D9D9D9" w:sz="1"/>
              <w:bottom w:val="single" w:color="D9D9D9" w:sz="1"/>
              <w:right w:val="single" w:color="D9D9D9" w:sz="1"/>
            </w:tcBorders>
          </w:tcPr>
          <w:p>
            <w:r>
              <w:t xml:space="preserve">Week 4</w:t>
            </w:r>
          </w:p>
        </w:tc>
        <w:tc>
          <w:tcPr>
            <w:tcBorders>
              <w:top w:val="single" w:color="D9D9D9" w:sz="1"/>
              <w:left w:val="single" w:color="D9D9D9" w:sz="1"/>
              <w:bottom w:val="single" w:color="D9D9D9" w:sz="1"/>
              <w:right w:val="single" w:color="D9D9D9" w:sz="1"/>
            </w:tcBorders>
          </w:tcPr>
          <w:p>
            <w:r>
              <w:t xml:space="preserve">Governance outputs generated, dry-run review completed, G5 pass</w:t>
            </w:r>
          </w:p>
        </w:tc>
      </w:tr>
    </w:tbl>
    <w:p>
      <w:pPr>
        <w:pStyle w:val="Heading1"/>
        <w:spacing w:after="120" w:before="200"/>
      </w:pPr>
      <w:r>
        <w:t xml:space="preserve">11. Common Failure Modes and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9D9D9" w:sz="1"/>
              <w:left w:val="single" w:color="D9D9D9" w:sz="1"/>
              <w:bottom w:val="single" w:color="D9D9D9" w:sz="1"/>
              <w:right w:val="single" w:color="D9D9D9" w:sz="1"/>
            </w:tcBorders>
          </w:tcPr>
          <w:p>
            <w:r>
              <w:rPr>
                <w:b/>
                <w:bCs/>
              </w:rPr>
              <w:t xml:space="preserve">Failure Mode</w:t>
            </w:r>
          </w:p>
        </w:tc>
        <w:tc>
          <w:tcPr>
            <w:tcBorders>
              <w:top w:val="single" w:color="D9D9D9" w:sz="1"/>
              <w:left w:val="single" w:color="D9D9D9" w:sz="1"/>
              <w:bottom w:val="single" w:color="D9D9D9" w:sz="1"/>
              <w:right w:val="single" w:color="D9D9D9" w:sz="1"/>
            </w:tcBorders>
          </w:tcPr>
          <w:p>
            <w:r>
              <w:rPr>
                <w:b/>
                <w:bCs/>
              </w:rPr>
              <w:t xml:space="preserve">Impact</w:t>
            </w:r>
          </w:p>
        </w:tc>
        <w:tc>
          <w:tcPr>
            <w:tcBorders>
              <w:top w:val="single" w:color="D9D9D9" w:sz="1"/>
              <w:left w:val="single" w:color="D9D9D9" w:sz="1"/>
              <w:bottom w:val="single" w:color="D9D9D9" w:sz="1"/>
              <w:right w:val="single" w:color="D9D9D9" w:sz="1"/>
            </w:tcBorders>
          </w:tcPr>
          <w:p>
            <w:r>
              <w:rPr>
                <w:b/>
                <w:bCs/>
              </w:rPr>
              <w:t xml:space="preserve">Control</w:t>
            </w:r>
          </w:p>
        </w:tc>
      </w:tr>
      <w:tr>
        <w:tc>
          <w:tcPr>
            <w:tcBorders>
              <w:top w:val="single" w:color="D9D9D9" w:sz="1"/>
              <w:left w:val="single" w:color="D9D9D9" w:sz="1"/>
              <w:bottom w:val="single" w:color="D9D9D9" w:sz="1"/>
              <w:right w:val="single" w:color="D9D9D9" w:sz="1"/>
            </w:tcBorders>
          </w:tcPr>
          <w:p>
            <w:r>
              <w:t xml:space="preserve">Uncontrolled assumption edits</w:t>
            </w:r>
          </w:p>
        </w:tc>
        <w:tc>
          <w:tcPr>
            <w:tcBorders>
              <w:top w:val="single" w:color="D9D9D9" w:sz="1"/>
              <w:left w:val="single" w:color="D9D9D9" w:sz="1"/>
              <w:bottom w:val="single" w:color="D9D9D9" w:sz="1"/>
              <w:right w:val="single" w:color="D9D9D9" w:sz="1"/>
            </w:tcBorders>
          </w:tcPr>
          <w:p>
            <w:r>
              <w:t xml:space="preserve">Inconsistent committee outputs</w:t>
            </w:r>
          </w:p>
        </w:tc>
        <w:tc>
          <w:tcPr>
            <w:tcBorders>
              <w:top w:val="single" w:color="D9D9D9" w:sz="1"/>
              <w:left w:val="single" w:color="D9D9D9" w:sz="1"/>
              <w:bottom w:val="single" w:color="D9D9D9" w:sz="1"/>
              <w:right w:val="single" w:color="D9D9D9" w:sz="1"/>
            </w:tcBorders>
          </w:tcPr>
          <w:p>
            <w:r>
              <w:t xml:space="preserve">Snapshot freeze + delegated approval</w:t>
            </w:r>
          </w:p>
        </w:tc>
      </w:tr>
      <w:tr>
        <w:tc>
          <w:tcPr>
            <w:tcBorders>
              <w:top w:val="single" w:color="D9D9D9" w:sz="1"/>
              <w:left w:val="single" w:color="D9D9D9" w:sz="1"/>
              <w:bottom w:val="single" w:color="D9D9D9" w:sz="1"/>
              <w:right w:val="single" w:color="D9D9D9" w:sz="1"/>
            </w:tcBorders>
          </w:tcPr>
          <w:p>
            <w:r>
              <w:t xml:space="preserve">One-off savings treated as structural</w:t>
            </w:r>
          </w:p>
        </w:tc>
        <w:tc>
          <w:tcPr>
            <w:tcBorders>
              <w:top w:val="single" w:color="D9D9D9" w:sz="1"/>
              <w:left w:val="single" w:color="D9D9D9" w:sz="1"/>
              <w:bottom w:val="single" w:color="D9D9D9" w:sz="1"/>
              <w:right w:val="single" w:color="D9D9D9" w:sz="1"/>
            </w:tcBorders>
          </w:tcPr>
          <w:p>
            <w:r>
              <w:t xml:space="preserve">Misstated sustainability</w:t>
            </w:r>
          </w:p>
        </w:tc>
        <w:tc>
          <w:tcPr>
            <w:tcBorders>
              <w:top w:val="single" w:color="D9D9D9" w:sz="1"/>
              <w:left w:val="single" w:color="D9D9D9" w:sz="1"/>
              <w:bottom w:val="single" w:color="D9D9D9" w:sz="1"/>
              <w:right w:val="single" w:color="D9D9D9" w:sz="1"/>
            </w:tcBorders>
          </w:tcPr>
          <w:p>
            <w:r>
              <w:t xml:space="preserve">Mandatory recurring flag review</w:t>
            </w:r>
          </w:p>
        </w:tc>
      </w:tr>
      <w:tr>
        <w:tc>
          <w:tcPr>
            <w:tcBorders>
              <w:top w:val="single" w:color="D9D9D9" w:sz="1"/>
              <w:left w:val="single" w:color="D9D9D9" w:sz="1"/>
              <w:bottom w:val="single" w:color="D9D9D9" w:sz="1"/>
              <w:right w:val="single" w:color="D9D9D9" w:sz="1"/>
            </w:tcBorders>
          </w:tcPr>
          <w:p>
            <w:r>
              <w:t xml:space="preserve">Reserves threshold misconfigured</w:t>
            </w:r>
          </w:p>
        </w:tc>
        <w:tc>
          <w:tcPr>
            <w:tcBorders>
              <w:top w:val="single" w:color="D9D9D9" w:sz="1"/>
              <w:left w:val="single" w:color="D9D9D9" w:sz="1"/>
              <w:bottom w:val="single" w:color="D9D9D9" w:sz="1"/>
              <w:right w:val="single" w:color="D9D9D9" w:sz="1"/>
            </w:tcBorders>
          </w:tcPr>
          <w:p>
            <w:r>
              <w:t xml:space="preserve">False assurance signal</w:t>
            </w:r>
          </w:p>
        </w:tc>
        <w:tc>
          <w:tcPr>
            <w:tcBorders>
              <w:top w:val="single" w:color="D9D9D9" w:sz="1"/>
              <w:left w:val="single" w:color="D9D9D9" w:sz="1"/>
              <w:bottom w:val="single" w:color="D9D9D9" w:sz="1"/>
              <w:right w:val="single" w:color="D9D9D9" w:sz="1"/>
            </w:tcBorders>
          </w:tcPr>
          <w:p>
            <w:r>
              <w:t xml:space="preserve">Policy cross-check + second reviewer</w:t>
            </w:r>
          </w:p>
        </w:tc>
      </w:tr>
      <w:tr>
        <w:tc>
          <w:tcPr>
            <w:tcBorders>
              <w:top w:val="single" w:color="D9D9D9" w:sz="1"/>
              <w:left w:val="single" w:color="D9D9D9" w:sz="1"/>
              <w:bottom w:val="single" w:color="D9D9D9" w:sz="1"/>
              <w:right w:val="single" w:color="D9D9D9" w:sz="1"/>
            </w:tcBorders>
          </w:tcPr>
          <w:p>
            <w:r>
              <w:t xml:space="preserve">Unlabeled imports</w:t>
            </w:r>
          </w:p>
        </w:tc>
        <w:tc>
          <w:tcPr>
            <w:tcBorders>
              <w:top w:val="single" w:color="D9D9D9" w:sz="1"/>
              <w:left w:val="single" w:color="D9D9D9" w:sz="1"/>
              <w:bottom w:val="single" w:color="D9D9D9" w:sz="1"/>
              <w:right w:val="single" w:color="D9D9D9" w:sz="1"/>
            </w:tcBorders>
          </w:tcPr>
          <w:p>
            <w:r>
              <w:t xml:space="preserve">Audit gap</w:t>
            </w:r>
          </w:p>
        </w:tc>
        <w:tc>
          <w:tcPr>
            <w:tcBorders>
              <w:top w:val="single" w:color="D9D9D9" w:sz="1"/>
              <w:left w:val="single" w:color="D9D9D9" w:sz="1"/>
              <w:bottom w:val="single" w:color="D9D9D9" w:sz="1"/>
              <w:right w:val="single" w:color="D9D9D9" w:sz="1"/>
            </w:tcBorders>
          </w:tcPr>
          <w:p>
            <w:r>
              <w:t xml:space="preserve">Template-only import policy</w:t>
            </w:r>
          </w:p>
        </w:tc>
      </w:tr>
    </w:tbl>
    <w:p>
      <w:pPr>
        <w:pStyle w:val="Heading1"/>
        <w:spacing w:after="120" w:before="200"/>
      </w:pPr>
      <w:r>
        <w:t xml:space="preserve">12. Final Sign-Off Statement Template</w:t>
      </w:r>
    </w:p>
    <w:p>
      <w:pPr>
        <w:spacing w:after="120"/>
      </w:pPr>
      <w:r>
        <w:t xml:space="preserve">Use this text in local records:</w:t>
      </w:r>
    </w:p>
    <w:p>
      <w:pPr>
        <w:spacing w:after="120"/>
      </w:pPr>
      <w:r>
        <w:t xml:space="preserve">“The onboarding process for MTFS DSS has been completed in line with the authority onboarding handbook. Data reconciliation, assumptions approval, scenario preparation, and governance output checks have passed the defined quality gates. The model is approved for controlled governance use from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2026-04-21T20:21:07.633Z</dcterms:created>
  <dcterms:modified xsi:type="dcterms:W3CDTF">2026-04-21T20:21:07.633Z</dcterms:modified>
</cp:coreProperties>
</file>

<file path=docProps/custom.xml><?xml version="1.0" encoding="utf-8"?>
<Properties xmlns="http://schemas.openxmlformats.org/officeDocument/2006/custom-properties" xmlns:vt="http://schemas.openxmlformats.org/officeDocument/2006/docPropsVTypes"/>
</file>