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10C" w:rsidRPr="00215987" w:rsidRDefault="00881D4E" w:rsidP="00C85DE9">
      <w:pPr>
        <w:jc w:val="center"/>
        <w:rPr>
          <w:b/>
          <w:u w:val="single"/>
        </w:rPr>
      </w:pPr>
      <w:r w:rsidRPr="00215987">
        <w:rPr>
          <w:b/>
          <w:u w:val="single"/>
        </w:rPr>
        <w:t>Process for testing Patients Under Investigation (PUI) for</w:t>
      </w:r>
      <w:r w:rsidR="00072D16" w:rsidRPr="00215987">
        <w:rPr>
          <w:b/>
          <w:u w:val="single"/>
        </w:rPr>
        <w:t xml:space="preserve"> COVID-19 </w:t>
      </w:r>
    </w:p>
    <w:p w:rsidR="004B314C" w:rsidRPr="004B314C" w:rsidRDefault="004B314C" w:rsidP="004B314C">
      <w:pPr>
        <w:pStyle w:val="ListParagraph"/>
        <w:numPr>
          <w:ilvl w:val="0"/>
          <w:numId w:val="4"/>
        </w:numPr>
        <w:rPr>
          <w:b/>
          <w:u w:val="single"/>
        </w:rPr>
      </w:pPr>
      <w:r w:rsidRPr="004B314C">
        <w:rPr>
          <w:b/>
          <w:u w:val="single"/>
        </w:rPr>
        <w:t xml:space="preserve">Patient selection: </w:t>
      </w:r>
    </w:p>
    <w:p w:rsidR="004B314C" w:rsidRDefault="004B314C" w:rsidP="004B314C">
      <w:pPr>
        <w:pStyle w:val="ListParagraph"/>
        <w:numPr>
          <w:ilvl w:val="0"/>
          <w:numId w:val="5"/>
        </w:numPr>
        <w:rPr>
          <w:rFonts w:cs="Segoe UI"/>
          <w:color w:val="000000"/>
          <w:shd w:val="clear" w:color="auto" w:fill="FFFFFF"/>
        </w:rPr>
      </w:pPr>
      <w:r w:rsidRPr="004B314C">
        <w:rPr>
          <w:rFonts w:cs="Segoe UI"/>
          <w:color w:val="000000"/>
          <w:shd w:val="clear" w:color="auto" w:fill="FFFFFF"/>
        </w:rPr>
        <w:t>Clinicians should use their judgment to determine if a patient has signs and symptoms compatible with COVID-19 and whether the patient should be tested</w:t>
      </w:r>
      <w:r w:rsidR="00745557">
        <w:rPr>
          <w:rFonts w:cs="Segoe UI"/>
          <w:color w:val="000000"/>
          <w:shd w:val="clear" w:color="auto" w:fill="FFFFFF"/>
        </w:rPr>
        <w:t xml:space="preserve"> in accordance with CDC guidance for PUI</w:t>
      </w:r>
      <w:r w:rsidRPr="004B314C">
        <w:rPr>
          <w:rFonts w:cs="Segoe UI"/>
          <w:color w:val="000000"/>
          <w:shd w:val="clear" w:color="auto" w:fill="FFFFFF"/>
        </w:rPr>
        <w:t xml:space="preserve">. </w:t>
      </w:r>
    </w:p>
    <w:p w:rsidR="004B314C" w:rsidRDefault="004B314C" w:rsidP="004B314C">
      <w:pPr>
        <w:pStyle w:val="ListParagraph"/>
        <w:numPr>
          <w:ilvl w:val="0"/>
          <w:numId w:val="5"/>
        </w:numPr>
        <w:rPr>
          <w:rFonts w:cs="Segoe UI"/>
          <w:color w:val="000000"/>
          <w:shd w:val="clear" w:color="auto" w:fill="FFFFFF"/>
        </w:rPr>
      </w:pPr>
      <w:r w:rsidRPr="004B314C">
        <w:rPr>
          <w:rFonts w:cs="Segoe UI"/>
          <w:color w:val="000000"/>
          <w:shd w:val="clear" w:color="auto" w:fill="FFFFFF"/>
        </w:rPr>
        <w:t xml:space="preserve">Decisions on which patients receive testing should be based on the local epidemiology of COVID-19, as well as the clinical course of illness. Most patients with confirmed COVID-19 have developed fever and/or symptoms of acute respiratory illness (e.g., cough, difficulty breathing). </w:t>
      </w:r>
    </w:p>
    <w:p w:rsidR="004B314C" w:rsidRDefault="004B314C" w:rsidP="004B314C">
      <w:pPr>
        <w:pStyle w:val="ListParagraph"/>
        <w:numPr>
          <w:ilvl w:val="0"/>
          <w:numId w:val="5"/>
        </w:numPr>
        <w:rPr>
          <w:rFonts w:cs="Segoe UI"/>
          <w:color w:val="000000"/>
          <w:shd w:val="clear" w:color="auto" w:fill="FFFFFF"/>
        </w:rPr>
      </w:pPr>
      <w:r w:rsidRPr="004B314C">
        <w:rPr>
          <w:rFonts w:cs="Segoe UI"/>
          <w:color w:val="000000"/>
          <w:shd w:val="clear" w:color="auto" w:fill="FFFFFF"/>
        </w:rPr>
        <w:t>Clinicians are strongly encouraged to test for other causes of respiratory illness, including infections such as influenza.</w:t>
      </w:r>
    </w:p>
    <w:p w:rsidR="004B314C" w:rsidRPr="004B314C" w:rsidRDefault="004B314C" w:rsidP="004B314C">
      <w:pPr>
        <w:pStyle w:val="ListParagraph"/>
      </w:pPr>
    </w:p>
    <w:p w:rsidR="004B314C" w:rsidRPr="004B314C" w:rsidRDefault="004B314C" w:rsidP="004B314C">
      <w:pPr>
        <w:pStyle w:val="ListParagraph"/>
        <w:numPr>
          <w:ilvl w:val="0"/>
          <w:numId w:val="4"/>
        </w:numPr>
        <w:rPr>
          <w:b/>
        </w:rPr>
      </w:pPr>
      <w:r w:rsidRPr="004B314C">
        <w:rPr>
          <w:b/>
          <w:u w:val="single"/>
        </w:rPr>
        <w:t>Isolation Precautions:</w:t>
      </w:r>
      <w:r w:rsidRPr="004B314C">
        <w:rPr>
          <w:b/>
        </w:rPr>
        <w:t xml:space="preserve"> </w:t>
      </w:r>
    </w:p>
    <w:p w:rsidR="004B314C" w:rsidRDefault="004B314C" w:rsidP="004B314C">
      <w:pPr>
        <w:pStyle w:val="ListParagraph"/>
      </w:pPr>
      <w:r>
        <w:t>Immediately implement infection prevention and control practices for any suspected case.</w:t>
      </w:r>
    </w:p>
    <w:p w:rsidR="004B314C" w:rsidRDefault="004B314C" w:rsidP="004B314C">
      <w:pPr>
        <w:pStyle w:val="ListParagraph"/>
      </w:pPr>
    </w:p>
    <w:p w:rsidR="00215987" w:rsidRPr="00AE3957" w:rsidRDefault="00215987" w:rsidP="00AE3957">
      <w:pPr>
        <w:pStyle w:val="ListParagraph"/>
        <w:numPr>
          <w:ilvl w:val="0"/>
          <w:numId w:val="4"/>
        </w:numPr>
        <w:rPr>
          <w:b/>
          <w:u w:val="single"/>
        </w:rPr>
      </w:pPr>
      <w:r w:rsidRPr="00AE3957">
        <w:rPr>
          <w:b/>
          <w:u w:val="single"/>
        </w:rPr>
        <w:t>Obtaining the proper specimens / proper collection media:</w:t>
      </w:r>
    </w:p>
    <w:p w:rsidR="00215987" w:rsidRDefault="00215987" w:rsidP="00215987">
      <w:pPr>
        <w:pStyle w:val="ListParagraph"/>
        <w:numPr>
          <w:ilvl w:val="0"/>
          <w:numId w:val="6"/>
        </w:numPr>
        <w:rPr>
          <w:rFonts w:cs="Segoe UI"/>
          <w:color w:val="000000"/>
          <w:shd w:val="clear" w:color="auto" w:fill="FFFFFF"/>
        </w:rPr>
      </w:pPr>
      <w:r w:rsidRPr="00215987">
        <w:rPr>
          <w:rFonts w:cs="Segoe UI"/>
          <w:color w:val="000000"/>
          <w:shd w:val="clear" w:color="auto" w:fill="FFFFFF"/>
        </w:rPr>
        <w:t>For initial diagnostic testing for SARS-CoV-2, CDC recommends collecting and testing upper respiratory tract specimens (</w:t>
      </w:r>
      <w:r w:rsidRPr="00215987">
        <w:rPr>
          <w:rFonts w:cs="Segoe UI"/>
          <w:color w:val="000000"/>
          <w:u w:val="single"/>
          <w:shd w:val="clear" w:color="auto" w:fill="FFFFFF"/>
        </w:rPr>
        <w:t xml:space="preserve">nasopharyngeal </w:t>
      </w:r>
      <w:r w:rsidRPr="00016B82">
        <w:rPr>
          <w:rFonts w:cs="Segoe UI"/>
          <w:color w:val="000000"/>
          <w:highlight w:val="yellow"/>
          <w:u w:val="single"/>
          <w:shd w:val="clear" w:color="auto" w:fill="FFFFFF"/>
        </w:rPr>
        <w:t>AND</w:t>
      </w:r>
      <w:r w:rsidRPr="00215987">
        <w:rPr>
          <w:rFonts w:cs="Segoe UI"/>
          <w:color w:val="000000"/>
          <w:u w:val="single"/>
          <w:shd w:val="clear" w:color="auto" w:fill="FFFFFF"/>
        </w:rPr>
        <w:t xml:space="preserve"> oropharyngeal swabs</w:t>
      </w:r>
      <w:r w:rsidR="007F5F13">
        <w:rPr>
          <w:rFonts w:cs="Segoe UI"/>
          <w:color w:val="000000"/>
          <w:u w:val="single"/>
          <w:shd w:val="clear" w:color="auto" w:fill="FFFFFF"/>
        </w:rPr>
        <w:t xml:space="preserve"> in separate vials</w:t>
      </w:r>
      <w:r w:rsidRPr="00215987">
        <w:rPr>
          <w:rFonts w:cs="Segoe UI"/>
          <w:color w:val="000000"/>
          <w:shd w:val="clear" w:color="auto" w:fill="FFFFFF"/>
        </w:rPr>
        <w:t xml:space="preserve">). </w:t>
      </w:r>
    </w:p>
    <w:p w:rsidR="00215987" w:rsidRDefault="00215987" w:rsidP="00215987">
      <w:pPr>
        <w:pStyle w:val="ListParagraph"/>
        <w:numPr>
          <w:ilvl w:val="0"/>
          <w:numId w:val="6"/>
        </w:numPr>
        <w:rPr>
          <w:rFonts w:cs="Segoe UI"/>
          <w:color w:val="000000"/>
          <w:shd w:val="clear" w:color="auto" w:fill="FFFFFF"/>
        </w:rPr>
      </w:pPr>
      <w:r w:rsidRPr="00215987">
        <w:rPr>
          <w:rFonts w:cs="Segoe UI"/>
          <w:color w:val="000000"/>
          <w:shd w:val="clear" w:color="auto" w:fill="FFFFFF"/>
        </w:rPr>
        <w:t>CDC also recommends testing lower respiratory tract specimens, if available. For patients who develop a productive cough, sputum should be collected and tested for SARS-CoV-2. The induction of sputum is not recommended</w:t>
      </w:r>
    </w:p>
    <w:p w:rsidR="007F5F13" w:rsidRPr="00215987" w:rsidRDefault="007F5F13" w:rsidP="007F5F13">
      <w:pPr>
        <w:pStyle w:val="ListParagraph"/>
        <w:ind w:left="1080"/>
        <w:rPr>
          <w:rFonts w:cs="Segoe UI"/>
          <w:color w:val="000000"/>
          <w:shd w:val="clear" w:color="auto" w:fill="FFFFFF"/>
        </w:rPr>
      </w:pPr>
    </w:p>
    <w:p w:rsidR="00072D16" w:rsidRDefault="00072D16" w:rsidP="007F5F13">
      <w:pPr>
        <w:pStyle w:val="ListParagraph"/>
        <w:ind w:left="1080"/>
      </w:pPr>
      <w:r>
        <w:t>After patient has been a</w:t>
      </w:r>
      <w:r w:rsidR="00F054BD">
        <w:t>pproved for sample collection</w:t>
      </w:r>
      <w:r>
        <w:t>:</w:t>
      </w:r>
    </w:p>
    <w:p w:rsidR="004541B7" w:rsidRDefault="004541B7" w:rsidP="004541B7">
      <w:pPr>
        <w:spacing w:after="0"/>
        <w:rPr>
          <w:u w:val="single"/>
        </w:rPr>
      </w:pPr>
      <w:r w:rsidRPr="00E50511">
        <w:rPr>
          <w:u w:val="single"/>
        </w:rPr>
        <w:t>LabCorp</w:t>
      </w:r>
    </w:p>
    <w:p w:rsidR="004541B7" w:rsidRDefault="004541B7" w:rsidP="004541B7">
      <w:pPr>
        <w:spacing w:after="0"/>
      </w:pPr>
      <w:r>
        <w:t>2019 Novel Coronavirus (COVID19), NAA</w:t>
      </w:r>
    </w:p>
    <w:p w:rsidR="004541B7" w:rsidRDefault="004541B7" w:rsidP="004541B7">
      <w:pPr>
        <w:spacing w:after="0"/>
      </w:pPr>
      <w:r>
        <w:t xml:space="preserve">Test code </w:t>
      </w:r>
      <w:r w:rsidR="00B768A1">
        <w:t>#</w:t>
      </w:r>
      <w:r>
        <w:t>139900</w:t>
      </w:r>
    </w:p>
    <w:p w:rsidR="004541B7" w:rsidRDefault="004541B7" w:rsidP="004541B7">
      <w:pPr>
        <w:spacing w:after="0"/>
      </w:pPr>
      <w:r>
        <w:t>Turn-around time is 3-4 days</w:t>
      </w:r>
    </w:p>
    <w:p w:rsidR="004541B7" w:rsidRDefault="004541B7" w:rsidP="004541B7">
      <w:pPr>
        <w:spacing w:after="0"/>
      </w:pPr>
      <w:r>
        <w:t>Nasopharyngeal swab [see picture] in Universal Viral Transport Medium [see photo] AND OP swab</w:t>
      </w:r>
    </w:p>
    <w:p w:rsidR="004541B7" w:rsidRDefault="004541B7" w:rsidP="004541B7">
      <w:pPr>
        <w:spacing w:after="0"/>
      </w:pPr>
      <w:r>
        <w:t>Samples are stable refrigerated for 72 hours. Transport chain will need to be determined at each site.</w:t>
      </w:r>
    </w:p>
    <w:p w:rsidR="004541B7" w:rsidRDefault="004541B7" w:rsidP="004541B7">
      <w:pPr>
        <w:spacing w:after="0"/>
      </w:pPr>
      <w:r>
        <w:t>Providers [physician, APC] should collect specimen using CDC/public health department guidelines, below.</w:t>
      </w:r>
    </w:p>
    <w:p w:rsidR="004541B7" w:rsidRDefault="004541B7" w:rsidP="004541B7">
      <w:pPr>
        <w:spacing w:after="0"/>
      </w:pPr>
    </w:p>
    <w:p w:rsidR="004541B7" w:rsidRDefault="004541B7" w:rsidP="004541B7">
      <w:pPr>
        <w:spacing w:after="0"/>
      </w:pPr>
      <w:r>
        <w:rPr>
          <w:u w:val="single"/>
        </w:rPr>
        <w:t>Quest Diagnostics</w:t>
      </w:r>
    </w:p>
    <w:p w:rsidR="004541B7" w:rsidRDefault="004541B7" w:rsidP="004541B7">
      <w:pPr>
        <w:spacing w:after="0"/>
      </w:pPr>
      <w:r>
        <w:t>SARS-CoV-2 RNA, Qualitative Real-Time RT-PCR</w:t>
      </w:r>
    </w:p>
    <w:p w:rsidR="004541B7" w:rsidRDefault="004541B7" w:rsidP="004541B7">
      <w:pPr>
        <w:spacing w:after="0"/>
        <w:rPr>
          <w:rStyle w:val="qd-test-centertest-detail-header--codes"/>
        </w:rPr>
      </w:pPr>
      <w:r>
        <w:rPr>
          <w:rStyle w:val="qd-test-centertest-detail-header--codes"/>
        </w:rPr>
        <w:t>Test code #39433</w:t>
      </w:r>
    </w:p>
    <w:p w:rsidR="004541B7" w:rsidRDefault="004541B7" w:rsidP="004541B7">
      <w:pPr>
        <w:spacing w:after="0"/>
        <w:rPr>
          <w:rStyle w:val="qd-test-centertest-detail-header--codes"/>
        </w:rPr>
      </w:pPr>
      <w:r>
        <w:rPr>
          <w:rStyle w:val="qd-test-centertest-detail-header--codes"/>
        </w:rPr>
        <w:t>Turn-around time approximately 2 days</w:t>
      </w:r>
    </w:p>
    <w:p w:rsidR="004541B7" w:rsidRDefault="004541B7" w:rsidP="004541B7">
      <w:pPr>
        <w:spacing w:after="0"/>
      </w:pPr>
      <w:r>
        <w:t>1 nasopharyngeal AND oropharyngeal swab in M4, V-C-M or UTM media</w:t>
      </w:r>
    </w:p>
    <w:p w:rsidR="004541B7" w:rsidRDefault="004541B7" w:rsidP="004541B7">
      <w:pPr>
        <w:spacing w:after="0"/>
      </w:pPr>
      <w:r>
        <w:t>Refrigerated: 72 hours, stability</w:t>
      </w:r>
    </w:p>
    <w:p w:rsidR="004541B7" w:rsidRDefault="004541B7" w:rsidP="004541B7">
      <w:pPr>
        <w:spacing w:after="0"/>
        <w:rPr>
          <w:rStyle w:val="Strong"/>
        </w:rPr>
      </w:pPr>
      <w:r>
        <w:t xml:space="preserve">If sample is being shipped directly to the performing laboratory by an overnight air courier, then transport it frozen on dry ice. </w:t>
      </w:r>
      <w:r>
        <w:rPr>
          <w:rStyle w:val="Strong"/>
        </w:rPr>
        <w:t>Specimens must not be left in lock boxes.</w:t>
      </w:r>
    </w:p>
    <w:p w:rsidR="004541B7" w:rsidRDefault="004541B7" w:rsidP="004541B7">
      <w:pPr>
        <w:spacing w:after="0"/>
        <w:rPr>
          <w:rStyle w:val="Strong"/>
        </w:rPr>
      </w:pPr>
    </w:p>
    <w:p w:rsidR="004541B7" w:rsidRDefault="004541B7" w:rsidP="004541B7">
      <w:pPr>
        <w:spacing w:after="0"/>
      </w:pPr>
    </w:p>
    <w:p w:rsidR="004541B7" w:rsidRDefault="004541B7" w:rsidP="004541B7">
      <w:pPr>
        <w:spacing w:after="0"/>
      </w:pPr>
    </w:p>
    <w:p w:rsidR="007F5F13" w:rsidRDefault="007F5F13" w:rsidP="007F5F13">
      <w:pPr>
        <w:pStyle w:val="ListParagraph"/>
        <w:ind w:left="1080"/>
      </w:pPr>
    </w:p>
    <w:p w:rsidR="00072D16" w:rsidRDefault="00072D16" w:rsidP="00072D16">
      <w:pPr>
        <w:pStyle w:val="ListParagraph"/>
        <w:numPr>
          <w:ilvl w:val="0"/>
          <w:numId w:val="1"/>
        </w:numPr>
      </w:pPr>
      <w:r>
        <w:t>To obtain the swab, request TWO RVP</w:t>
      </w:r>
      <w:r w:rsidR="00745557">
        <w:t>-</w:t>
      </w:r>
      <w:r>
        <w:t>type swabs from the lab</w:t>
      </w:r>
      <w:r w:rsidR="008B785D">
        <w:t>. Do not use the standard blue or green top swabs on the units</w:t>
      </w:r>
      <w:r w:rsidR="00745557">
        <w:t>.</w:t>
      </w:r>
      <w:r>
        <w:t xml:space="preserve"> </w:t>
      </w:r>
    </w:p>
    <w:p w:rsidR="00072D16" w:rsidRPr="00B30947" w:rsidRDefault="00072D16" w:rsidP="00B30947">
      <w:pPr>
        <w:pStyle w:val="ListParagraph"/>
        <w:numPr>
          <w:ilvl w:val="0"/>
          <w:numId w:val="1"/>
        </w:numPr>
        <w:rPr>
          <w:u w:val="single"/>
        </w:rPr>
      </w:pPr>
      <w:r>
        <w:t xml:space="preserve">To collect the sample, </w:t>
      </w:r>
      <w:r w:rsidRPr="00745557">
        <w:rPr>
          <w:u w:val="single"/>
        </w:rPr>
        <w:t>please wear full PPE including N95 or PAPR and eye protection, gown and gloves</w:t>
      </w:r>
    </w:p>
    <w:p w:rsidR="00072D16" w:rsidRDefault="00072D16" w:rsidP="00072D16">
      <w:pPr>
        <w:pStyle w:val="ListParagraph"/>
        <w:numPr>
          <w:ilvl w:val="0"/>
          <w:numId w:val="1"/>
        </w:numPr>
      </w:pPr>
      <w:r>
        <w:t>Double bag the samples, ensuring that the outermost bag is not contaminated</w:t>
      </w:r>
    </w:p>
    <w:p w:rsidR="00072D16" w:rsidRDefault="004541B7" w:rsidP="00072D16">
      <w:pPr>
        <w:pStyle w:val="ListParagraph"/>
        <w:numPr>
          <w:ilvl w:val="0"/>
          <w:numId w:val="1"/>
        </w:numPr>
      </w:pPr>
      <w:r>
        <w:t>See CDC guid</w:t>
      </w:r>
      <w:r w:rsidR="000B050E">
        <w:t>elines for donning &amp; doffing PPE</w:t>
      </w:r>
    </w:p>
    <w:p w:rsidR="000B050E" w:rsidRDefault="000B050E" w:rsidP="00072D16">
      <w:pPr>
        <w:pStyle w:val="ListParagraph"/>
        <w:numPr>
          <w:ilvl w:val="0"/>
          <w:numId w:val="1"/>
        </w:numPr>
      </w:pPr>
      <w:r>
        <w:t>Ha</w:t>
      </w:r>
      <w:r w:rsidR="00BA38DA">
        <w:t>ve a red bag available to discard</w:t>
      </w:r>
      <w:r w:rsidR="00F054BD">
        <w:t xml:space="preserve"> </w:t>
      </w:r>
      <w:r>
        <w:t>PPE</w:t>
      </w:r>
    </w:p>
    <w:p w:rsidR="000B050E" w:rsidRDefault="000B050E" w:rsidP="00072D16">
      <w:pPr>
        <w:pStyle w:val="ListParagraph"/>
        <w:numPr>
          <w:ilvl w:val="0"/>
          <w:numId w:val="1"/>
        </w:numPr>
      </w:pPr>
      <w:r>
        <w:lastRenderedPageBreak/>
        <w:t>Room used must be quarantined for 4 hours</w:t>
      </w:r>
    </w:p>
    <w:p w:rsidR="000B050E" w:rsidRDefault="000B050E" w:rsidP="00072D16">
      <w:pPr>
        <w:pStyle w:val="ListParagraph"/>
        <w:numPr>
          <w:ilvl w:val="0"/>
          <w:numId w:val="1"/>
        </w:numPr>
      </w:pPr>
      <w:r>
        <w:t>Wipe</w:t>
      </w:r>
      <w:r w:rsidR="00BA38DA">
        <w:t xml:space="preserve"> down stethoscope, thermometer &amp;</w:t>
      </w:r>
      <w:r w:rsidR="00B768A1">
        <w:t xml:space="preserve"> </w:t>
      </w:r>
      <w:r>
        <w:t>pulse ox with appropriate cleansing wipes</w:t>
      </w:r>
      <w:r w:rsidR="00B768A1">
        <w:t xml:space="preserve"> after use</w:t>
      </w:r>
    </w:p>
    <w:p w:rsidR="004541B7" w:rsidRDefault="004541B7" w:rsidP="004541B7">
      <w:r>
        <w:rPr>
          <w:noProof/>
        </w:rPr>
        <w:drawing>
          <wp:inline distT="0" distB="0" distL="0" distR="0">
            <wp:extent cx="5677692" cy="31913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wab viral.png"/>
                    <pic:cNvPicPr/>
                  </pic:nvPicPr>
                  <pic:blipFill>
                    <a:blip r:embed="rId5">
                      <a:extLst>
                        <a:ext uri="{28A0092B-C50C-407E-A947-70E740481C1C}">
                          <a14:useLocalDpi xmlns:a14="http://schemas.microsoft.com/office/drawing/2010/main" val="0"/>
                        </a:ext>
                      </a:extLst>
                    </a:blip>
                    <a:stretch>
                      <a:fillRect/>
                    </a:stretch>
                  </pic:blipFill>
                  <pic:spPr>
                    <a:xfrm>
                      <a:off x="0" y="0"/>
                      <a:ext cx="5677692" cy="3191320"/>
                    </a:xfrm>
                    <a:prstGeom prst="rect">
                      <a:avLst/>
                    </a:prstGeom>
                  </pic:spPr>
                </pic:pic>
              </a:graphicData>
            </a:graphic>
          </wp:inline>
        </w:drawing>
      </w:r>
    </w:p>
    <w:p w:rsidR="00072D16" w:rsidRDefault="00BA38DA" w:rsidP="004541B7">
      <w:pPr>
        <w:pStyle w:val="ListParagraph"/>
        <w:ind w:left="1440"/>
      </w:pPr>
      <w:r>
        <w:t>*</w:t>
      </w:r>
      <w:r w:rsidR="004541B7">
        <w:t>Use the nasopharyngeal swab with plastic wand only</w:t>
      </w:r>
    </w:p>
    <w:p w:rsidR="004541B7" w:rsidRDefault="004541B7" w:rsidP="004541B7">
      <w:pPr>
        <w:pStyle w:val="ListParagraph"/>
        <w:ind w:left="1440"/>
      </w:pPr>
      <w:r>
        <w:t>After sampling transfer to viral culture transport tube.</w:t>
      </w:r>
    </w:p>
    <w:p w:rsidR="00BA38DA" w:rsidRDefault="00BA38DA" w:rsidP="004541B7">
      <w:pPr>
        <w:pStyle w:val="ListParagraph"/>
        <w:ind w:left="1440"/>
      </w:pPr>
    </w:p>
    <w:p w:rsidR="00072D16" w:rsidRDefault="0092430D" w:rsidP="004541B7">
      <w:pPr>
        <w:pStyle w:val="ListParagraph"/>
        <w:ind w:left="1440"/>
      </w:pPr>
      <w:r>
        <w:rPr>
          <w:noProof/>
        </w:rPr>
        <w:drawing>
          <wp:inline distT="0" distB="0" distL="0" distR="0" wp14:anchorId="0BEEBAA9" wp14:editId="607BA469">
            <wp:extent cx="226695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2553" r="46809"/>
                    <a:stretch/>
                  </pic:blipFill>
                  <pic:spPr bwMode="auto">
                    <a:xfrm>
                      <a:off x="0" y="0"/>
                      <a:ext cx="2266950" cy="3581400"/>
                    </a:xfrm>
                    <a:prstGeom prst="rect">
                      <a:avLst/>
                    </a:prstGeom>
                    <a:noFill/>
                    <a:ln>
                      <a:noFill/>
                    </a:ln>
                    <a:extLst>
                      <a:ext uri="{53640926-AAD7-44D8-BBD7-CCE9431645EC}">
                        <a14:shadowObscured xmlns:a14="http://schemas.microsoft.com/office/drawing/2010/main"/>
                      </a:ext>
                    </a:extLst>
                  </pic:spPr>
                </pic:pic>
              </a:graphicData>
            </a:graphic>
          </wp:inline>
        </w:drawing>
      </w:r>
      <w:r w:rsidR="004541B7">
        <w:rPr>
          <w:noProof/>
        </w:rPr>
        <w:drawing>
          <wp:inline distT="0" distB="0" distL="0" distR="0">
            <wp:extent cx="91440" cy="73929"/>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al transport.png"/>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flipH="1">
                      <a:off x="0" y="0"/>
                      <a:ext cx="92189" cy="74535"/>
                    </a:xfrm>
                    <a:prstGeom prst="rect">
                      <a:avLst/>
                    </a:prstGeom>
                  </pic:spPr>
                </pic:pic>
              </a:graphicData>
            </a:graphic>
          </wp:inline>
        </w:drawing>
      </w:r>
      <w:r w:rsidR="00BA38DA">
        <w:t>**</w:t>
      </w:r>
      <w:r w:rsidR="00AE3957">
        <w:t>USE THIS SWAB FOR OP TESTING</w:t>
      </w:r>
      <w:r w:rsidR="00BA38DA">
        <w:t>- place in a separate UTM viral transport tube</w:t>
      </w:r>
    </w:p>
    <w:p w:rsidR="007F5F13" w:rsidRDefault="007F5F13" w:rsidP="00215987">
      <w:pPr>
        <w:ind w:firstLine="720"/>
        <w:rPr>
          <w:b/>
        </w:rPr>
      </w:pPr>
    </w:p>
    <w:p w:rsidR="007F5F13" w:rsidRDefault="007F5F13" w:rsidP="00745557">
      <w:pPr>
        <w:rPr>
          <w:b/>
        </w:rPr>
      </w:pPr>
    </w:p>
    <w:p w:rsidR="007F5F13" w:rsidRDefault="007F5F13" w:rsidP="00745557">
      <w:pPr>
        <w:rPr>
          <w:b/>
        </w:rPr>
      </w:pPr>
    </w:p>
    <w:p w:rsidR="00072D16" w:rsidRPr="00C85DE9" w:rsidRDefault="00072D16" w:rsidP="00215987">
      <w:pPr>
        <w:ind w:firstLine="720"/>
        <w:rPr>
          <w:b/>
        </w:rPr>
      </w:pPr>
      <w:r w:rsidRPr="00C85DE9">
        <w:rPr>
          <w:b/>
        </w:rPr>
        <w:lastRenderedPageBreak/>
        <w:t xml:space="preserve">TECHNIQUE for </w:t>
      </w:r>
      <w:r w:rsidR="002E3535" w:rsidRPr="00C85DE9">
        <w:rPr>
          <w:b/>
        </w:rPr>
        <w:t>NASOPHARYNGEAL SAMPLE COLLECTION:</w:t>
      </w:r>
    </w:p>
    <w:p w:rsidR="002E3535" w:rsidRDefault="002E3535" w:rsidP="00215987">
      <w:pPr>
        <w:ind w:left="360"/>
      </w:pPr>
      <w:r>
        <w:tab/>
      </w:r>
    </w:p>
    <w:p w:rsidR="002E3535" w:rsidRDefault="002E3535" w:rsidP="00215987">
      <w:pPr>
        <w:pStyle w:val="ListParagraph"/>
        <w:numPr>
          <w:ilvl w:val="0"/>
          <w:numId w:val="2"/>
        </w:numPr>
        <w:ind w:left="1080"/>
      </w:pPr>
      <w:r>
        <w:t>If possible, have the patient clear their airway</w:t>
      </w:r>
    </w:p>
    <w:p w:rsidR="002E3535" w:rsidRDefault="002E3535" w:rsidP="00215987">
      <w:pPr>
        <w:pStyle w:val="ListParagraph"/>
        <w:numPr>
          <w:ilvl w:val="0"/>
          <w:numId w:val="2"/>
        </w:numPr>
        <w:ind w:left="1080"/>
      </w:pPr>
      <w:r>
        <w:t>Tilt the patient’s head back and instruct them to close their eyes</w:t>
      </w:r>
    </w:p>
    <w:p w:rsidR="002E3535" w:rsidRDefault="002E3535" w:rsidP="00215987">
      <w:pPr>
        <w:pStyle w:val="ListParagraph"/>
        <w:numPr>
          <w:ilvl w:val="0"/>
          <w:numId w:val="2"/>
        </w:numPr>
        <w:ind w:left="1080"/>
      </w:pPr>
      <w:r>
        <w:t>Insert the swab until the nasopharynx is felt</w:t>
      </w:r>
    </w:p>
    <w:p w:rsidR="007F5F13" w:rsidRDefault="007F5F13" w:rsidP="007F5F13">
      <w:pPr>
        <w:pStyle w:val="ListParagraph"/>
        <w:ind w:left="1080"/>
      </w:pPr>
    </w:p>
    <w:p w:rsidR="002E3535" w:rsidRDefault="002E3535" w:rsidP="002E3535">
      <w:pPr>
        <w:pStyle w:val="ListParagraph"/>
      </w:pPr>
      <w:r>
        <w:rPr>
          <w:noProof/>
        </w:rPr>
        <w:drawing>
          <wp:inline distT="0" distB="0" distL="0" distR="0" wp14:anchorId="780D8FE4" wp14:editId="0CCB20E7">
            <wp:extent cx="5486400" cy="275766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608" cy="2761789"/>
                    </a:xfrm>
                    <a:prstGeom prst="rect">
                      <a:avLst/>
                    </a:prstGeom>
                  </pic:spPr>
                </pic:pic>
              </a:graphicData>
            </a:graphic>
          </wp:inline>
        </w:drawing>
      </w:r>
    </w:p>
    <w:p w:rsidR="002E3535" w:rsidRDefault="002E3535" w:rsidP="002E3535">
      <w:pPr>
        <w:pStyle w:val="ListParagraph"/>
        <w:numPr>
          <w:ilvl w:val="0"/>
          <w:numId w:val="2"/>
        </w:numPr>
      </w:pPr>
      <w:r>
        <w:t>Rotate the swab along the nasopharyngeal mucosa for 10-15 seconds to obtain an adequate sample</w:t>
      </w:r>
    </w:p>
    <w:p w:rsidR="002E3535" w:rsidRDefault="002E3535" w:rsidP="00072D16"/>
    <w:p w:rsidR="002E3535" w:rsidRPr="00C85DE9" w:rsidRDefault="002E3535" w:rsidP="00215987">
      <w:pPr>
        <w:ind w:firstLine="360"/>
        <w:rPr>
          <w:b/>
        </w:rPr>
      </w:pPr>
      <w:r w:rsidRPr="00C85DE9">
        <w:rPr>
          <w:b/>
        </w:rPr>
        <w:t>TECHNIQUE for OROPHARYNGEAL SAMPLE COLLECTION:</w:t>
      </w:r>
    </w:p>
    <w:p w:rsidR="00745557" w:rsidRDefault="002E3535" w:rsidP="00745557">
      <w:pPr>
        <w:ind w:left="360"/>
      </w:pPr>
      <w:r>
        <w:t xml:space="preserve">Place swab into the back of the mouth into the posterior pharynx, swabbing </w:t>
      </w:r>
      <w:r w:rsidR="00C85DE9">
        <w:t>both</w:t>
      </w:r>
      <w:r>
        <w:t xml:space="preserve"> tonsillar areas, being careful to avoid the tongue</w:t>
      </w:r>
      <w:r w:rsidR="00C85DE9">
        <w:t>, teeth and gums</w:t>
      </w:r>
      <w:r w:rsidR="00745557">
        <w:t>.</w:t>
      </w:r>
    </w:p>
    <w:p w:rsidR="002E3535" w:rsidRDefault="00745557" w:rsidP="00745557">
      <w:pPr>
        <w:ind w:left="360"/>
        <w:jc w:val="center"/>
      </w:pPr>
      <w:r>
        <w:rPr>
          <w:noProof/>
        </w:rPr>
        <w:drawing>
          <wp:inline distT="0" distB="0" distL="0" distR="0" wp14:anchorId="4B57F820" wp14:editId="6B97CD3D">
            <wp:extent cx="4415051" cy="2527973"/>
            <wp:effectExtent l="19050" t="19050" r="2413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8801" cy="2570201"/>
                    </a:xfrm>
                    <a:prstGeom prst="rect">
                      <a:avLst/>
                    </a:prstGeom>
                    <a:ln>
                      <a:solidFill>
                        <a:schemeClr val="tx1"/>
                      </a:solidFill>
                    </a:ln>
                  </pic:spPr>
                </pic:pic>
              </a:graphicData>
            </a:graphic>
          </wp:inline>
        </w:drawing>
      </w:r>
    </w:p>
    <w:p w:rsidR="00F20957" w:rsidRPr="006319FA" w:rsidRDefault="00F20957" w:rsidP="00F20957">
      <w:pPr>
        <w:pStyle w:val="ListParagraph"/>
        <w:numPr>
          <w:ilvl w:val="0"/>
          <w:numId w:val="4"/>
        </w:numPr>
        <w:rPr>
          <w:b/>
        </w:rPr>
      </w:pPr>
      <w:r w:rsidRPr="006319FA">
        <w:rPr>
          <w:b/>
        </w:rPr>
        <w:t xml:space="preserve">Test Result: </w:t>
      </w:r>
    </w:p>
    <w:p w:rsidR="00F20957" w:rsidRDefault="00F20957" w:rsidP="00F20957">
      <w:pPr>
        <w:ind w:left="360"/>
      </w:pPr>
      <w:r w:rsidRPr="006319FA">
        <w:t>Upon Public Health Dep</w:t>
      </w:r>
      <w:r w:rsidR="00FD74F9">
        <w:t xml:space="preserve">artment or lab </w:t>
      </w:r>
      <w:r w:rsidRPr="006319FA">
        <w:t>verifying the</w:t>
      </w:r>
      <w:r w:rsidR="00F054BD">
        <w:t xml:space="preserve"> result at their end,</w:t>
      </w:r>
      <w:r w:rsidR="000B050E">
        <w:t xml:space="preserve"> a</w:t>
      </w:r>
      <w:r w:rsidRPr="006319FA">
        <w:t xml:space="preserve"> report</w:t>
      </w:r>
      <w:r w:rsidR="00F054BD">
        <w:t xml:space="preserve"> is</w:t>
      </w:r>
      <w:r w:rsidRPr="006319FA">
        <w:t xml:space="preserve"> sent to the laboratory’s secured fax. It is then scann</w:t>
      </w:r>
      <w:r w:rsidR="00FD74F9">
        <w:t>ed into the patient’s chart</w:t>
      </w:r>
      <w:r w:rsidR="000B050E">
        <w:t>/ PAQ</w:t>
      </w:r>
      <w:r w:rsidR="00FD74F9">
        <w:t>.</w:t>
      </w:r>
    </w:p>
    <w:p w:rsidR="007B29D9" w:rsidRDefault="007B29D9" w:rsidP="00F20957">
      <w:pPr>
        <w:ind w:left="360"/>
      </w:pPr>
      <w:r>
        <w:t>If positive</w:t>
      </w:r>
      <w:r w:rsidR="00F054BD">
        <w:t>, the</w:t>
      </w:r>
      <w:r>
        <w:t xml:space="preserve"> Local Health Department must be notified if not already aware- forms on their websites.</w:t>
      </w:r>
    </w:p>
    <w:p w:rsidR="007B29D9" w:rsidRDefault="007B29D9" w:rsidP="00F20957">
      <w:pPr>
        <w:ind w:left="360"/>
      </w:pPr>
      <w:r>
        <w:lastRenderedPageBreak/>
        <w:t xml:space="preserve">Also notify Medical Directors, the manager and regional director when a positive case has been identified at your office.  We will need to know for HR purposes in the case that employees have signs and symptoms and would also need testing.   Remembering that patient confidentiality is always of the utmost importance.   </w:t>
      </w:r>
    </w:p>
    <w:p w:rsidR="00AE3957" w:rsidRPr="00215987" w:rsidRDefault="00AE3957" w:rsidP="00AE3957">
      <w:pPr>
        <w:pStyle w:val="ListParagraph"/>
        <w:numPr>
          <w:ilvl w:val="0"/>
          <w:numId w:val="4"/>
        </w:numPr>
        <w:rPr>
          <w:b/>
          <w:u w:val="single"/>
        </w:rPr>
      </w:pPr>
      <w:r w:rsidRPr="00215987">
        <w:rPr>
          <w:b/>
          <w:u w:val="single"/>
        </w:rPr>
        <w:t>Obtaining approval for testing</w:t>
      </w:r>
      <w:r>
        <w:rPr>
          <w:b/>
          <w:u w:val="single"/>
        </w:rPr>
        <w:t>/reporting</w:t>
      </w:r>
      <w:r w:rsidRPr="00215987">
        <w:rPr>
          <w:b/>
          <w:u w:val="single"/>
        </w:rPr>
        <w:t>:</w:t>
      </w:r>
    </w:p>
    <w:p w:rsidR="00AE3957" w:rsidRDefault="00AE3957" w:rsidP="00AE3957">
      <w:pPr>
        <w:pStyle w:val="ListParagraph"/>
      </w:pPr>
      <w:r>
        <w:t>Clinician (MD / APC</w:t>
      </w:r>
      <w:r>
        <w:t>) to call Orange County Healthcare Agency (OCHCA) to obtain approval for testing</w:t>
      </w:r>
      <w:r w:rsidR="00B768A1">
        <w:t xml:space="preserve"> or reporting</w:t>
      </w:r>
      <w:r>
        <w:t>.</w:t>
      </w:r>
    </w:p>
    <w:p w:rsidR="00AE3957" w:rsidRDefault="00AE3957" w:rsidP="00AE3957">
      <w:pPr>
        <w:pStyle w:val="ListParagraph"/>
      </w:pPr>
      <w:r>
        <w:t>During work hours: (714) 834-8180; after hours: (714) 628-7008</w:t>
      </w:r>
    </w:p>
    <w:p w:rsidR="00AE3957" w:rsidRPr="00E9345E" w:rsidRDefault="00AE3957" w:rsidP="00AE3957">
      <w:pPr>
        <w:autoSpaceDE w:val="0"/>
        <w:autoSpaceDN w:val="0"/>
        <w:adjustRightInd w:val="0"/>
        <w:spacing w:after="0" w:line="240" w:lineRule="auto"/>
        <w:rPr>
          <w:rFonts w:ascii="Arial" w:hAnsi="Arial" w:cs="Arial"/>
          <w:color w:val="000000"/>
          <w:sz w:val="23"/>
          <w:szCs w:val="23"/>
        </w:rPr>
      </w:pPr>
      <w:r w:rsidRPr="00E9345E">
        <w:rPr>
          <w:rFonts w:ascii="Arial" w:hAnsi="Arial" w:cs="Arial"/>
          <w:b/>
          <w:bCs/>
          <w:color w:val="000000"/>
          <w:sz w:val="23"/>
          <w:szCs w:val="23"/>
        </w:rPr>
        <w:t>Los Angeles County DPH Acute Communicable Disease Control</w:t>
      </w:r>
      <w:r w:rsidRPr="00E9345E">
        <w:rPr>
          <w:rFonts w:ascii="Arial" w:hAnsi="Arial" w:cs="Arial"/>
          <w:color w:val="000000"/>
          <w:sz w:val="23"/>
          <w:szCs w:val="23"/>
        </w:rPr>
        <w:t xml:space="preserve">: </w:t>
      </w:r>
    </w:p>
    <w:p w:rsidR="00AE3957" w:rsidRPr="00E9345E" w:rsidRDefault="00AE3957" w:rsidP="00AE3957">
      <w:pPr>
        <w:autoSpaceDE w:val="0"/>
        <w:autoSpaceDN w:val="0"/>
        <w:adjustRightInd w:val="0"/>
        <w:spacing w:after="0" w:line="240" w:lineRule="auto"/>
        <w:rPr>
          <w:rFonts w:ascii="Arial" w:hAnsi="Arial" w:cs="Arial"/>
          <w:color w:val="000000"/>
          <w:sz w:val="23"/>
          <w:szCs w:val="23"/>
        </w:rPr>
      </w:pPr>
      <w:r w:rsidRPr="00E9345E">
        <w:rPr>
          <w:rFonts w:ascii="Arial" w:hAnsi="Arial" w:cs="Arial"/>
          <w:color w:val="000000"/>
          <w:sz w:val="20"/>
          <w:szCs w:val="20"/>
        </w:rPr>
        <w:t xml:space="preserve">• </w:t>
      </w:r>
      <w:r w:rsidRPr="00E9345E">
        <w:rPr>
          <w:rFonts w:ascii="Arial" w:hAnsi="Arial" w:cs="Arial"/>
          <w:color w:val="000000"/>
          <w:sz w:val="23"/>
          <w:szCs w:val="23"/>
        </w:rPr>
        <w:t xml:space="preserve">Weekdays 8:30am–5pm: call 213-240-7941. </w:t>
      </w:r>
    </w:p>
    <w:p w:rsidR="00AE3957" w:rsidRPr="00E9345E" w:rsidRDefault="00AE3957" w:rsidP="00AE3957">
      <w:pPr>
        <w:autoSpaceDE w:val="0"/>
        <w:autoSpaceDN w:val="0"/>
        <w:adjustRightInd w:val="0"/>
        <w:spacing w:after="0" w:line="240" w:lineRule="auto"/>
        <w:rPr>
          <w:rFonts w:ascii="Arial" w:hAnsi="Arial" w:cs="Arial"/>
          <w:color w:val="000000"/>
          <w:sz w:val="23"/>
          <w:szCs w:val="23"/>
        </w:rPr>
      </w:pPr>
      <w:r w:rsidRPr="00E9345E">
        <w:rPr>
          <w:rFonts w:ascii="Arial" w:hAnsi="Arial" w:cs="Arial"/>
          <w:color w:val="000000"/>
          <w:sz w:val="20"/>
          <w:szCs w:val="20"/>
        </w:rPr>
        <w:t xml:space="preserve">• </w:t>
      </w:r>
      <w:r w:rsidRPr="00E9345E">
        <w:rPr>
          <w:rFonts w:ascii="Arial" w:hAnsi="Arial" w:cs="Arial"/>
          <w:color w:val="000000"/>
          <w:sz w:val="23"/>
          <w:szCs w:val="23"/>
        </w:rPr>
        <w:t xml:space="preserve">After-hours: call 213-974-1234 and ask for the physician on call. </w:t>
      </w:r>
    </w:p>
    <w:p w:rsidR="00AE3957" w:rsidRPr="00E9345E" w:rsidRDefault="00AE3957" w:rsidP="00AE3957">
      <w:pPr>
        <w:autoSpaceDE w:val="0"/>
        <w:autoSpaceDN w:val="0"/>
        <w:adjustRightInd w:val="0"/>
        <w:spacing w:after="0" w:line="240" w:lineRule="auto"/>
        <w:rPr>
          <w:rFonts w:ascii="Arial" w:hAnsi="Arial" w:cs="Arial"/>
          <w:color w:val="000000"/>
          <w:sz w:val="23"/>
          <w:szCs w:val="23"/>
        </w:rPr>
      </w:pPr>
    </w:p>
    <w:p w:rsidR="00AE3957" w:rsidRPr="00E9345E" w:rsidRDefault="00AE3957" w:rsidP="00AE3957">
      <w:pPr>
        <w:autoSpaceDE w:val="0"/>
        <w:autoSpaceDN w:val="0"/>
        <w:adjustRightInd w:val="0"/>
        <w:spacing w:after="0" w:line="240" w:lineRule="auto"/>
        <w:rPr>
          <w:rFonts w:ascii="Arial" w:hAnsi="Arial" w:cs="Arial"/>
          <w:color w:val="000000"/>
          <w:sz w:val="23"/>
          <w:szCs w:val="23"/>
        </w:rPr>
      </w:pPr>
      <w:r w:rsidRPr="00E9345E">
        <w:rPr>
          <w:rFonts w:ascii="Arial" w:hAnsi="Arial" w:cs="Arial"/>
          <w:b/>
          <w:bCs/>
          <w:color w:val="000000"/>
          <w:sz w:val="23"/>
          <w:szCs w:val="23"/>
        </w:rPr>
        <w:t>Long Beach Health and Human Services</w:t>
      </w:r>
      <w:r w:rsidRPr="00E9345E">
        <w:rPr>
          <w:rFonts w:ascii="Arial" w:hAnsi="Arial" w:cs="Arial"/>
          <w:color w:val="000000"/>
          <w:sz w:val="23"/>
          <w:szCs w:val="23"/>
        </w:rPr>
        <w:t xml:space="preserve">: </w:t>
      </w:r>
    </w:p>
    <w:p w:rsidR="00AE3957" w:rsidRPr="00E9345E" w:rsidRDefault="00AE3957" w:rsidP="00AE3957">
      <w:pPr>
        <w:autoSpaceDE w:val="0"/>
        <w:autoSpaceDN w:val="0"/>
        <w:adjustRightInd w:val="0"/>
        <w:spacing w:after="0" w:line="240" w:lineRule="auto"/>
        <w:rPr>
          <w:rFonts w:ascii="Arial" w:hAnsi="Arial" w:cs="Arial"/>
          <w:color w:val="000000"/>
          <w:sz w:val="23"/>
          <w:szCs w:val="23"/>
        </w:rPr>
      </w:pPr>
      <w:r w:rsidRPr="00E9345E">
        <w:rPr>
          <w:rFonts w:ascii="Arial" w:hAnsi="Arial" w:cs="Arial"/>
          <w:color w:val="000000"/>
          <w:sz w:val="20"/>
          <w:szCs w:val="20"/>
        </w:rPr>
        <w:t xml:space="preserve">• </w:t>
      </w:r>
      <w:r w:rsidRPr="00E9345E">
        <w:rPr>
          <w:rFonts w:ascii="Arial" w:hAnsi="Arial" w:cs="Arial"/>
          <w:color w:val="000000"/>
          <w:sz w:val="23"/>
          <w:szCs w:val="23"/>
        </w:rPr>
        <w:t xml:space="preserve">Weekdays 8am-5pm: call 562-570-4302. </w:t>
      </w:r>
    </w:p>
    <w:p w:rsidR="00AE3957" w:rsidRDefault="00AE3957" w:rsidP="00AE3957">
      <w:pPr>
        <w:autoSpaceDE w:val="0"/>
        <w:autoSpaceDN w:val="0"/>
        <w:adjustRightInd w:val="0"/>
        <w:spacing w:after="0" w:line="240" w:lineRule="auto"/>
        <w:rPr>
          <w:rFonts w:ascii="Arial" w:hAnsi="Arial" w:cs="Arial"/>
          <w:color w:val="000000"/>
          <w:sz w:val="23"/>
          <w:szCs w:val="23"/>
        </w:rPr>
      </w:pPr>
      <w:r w:rsidRPr="00E9345E">
        <w:rPr>
          <w:rFonts w:ascii="Arial" w:hAnsi="Arial" w:cs="Arial"/>
          <w:color w:val="000000"/>
          <w:sz w:val="20"/>
          <w:szCs w:val="20"/>
        </w:rPr>
        <w:t xml:space="preserve">• </w:t>
      </w:r>
      <w:r w:rsidRPr="00E9345E">
        <w:rPr>
          <w:rFonts w:ascii="Arial" w:hAnsi="Arial" w:cs="Arial"/>
          <w:color w:val="000000"/>
          <w:sz w:val="23"/>
          <w:szCs w:val="23"/>
        </w:rPr>
        <w:t xml:space="preserve">After hours: call the Duty Officer at 562-500-5537. </w:t>
      </w:r>
    </w:p>
    <w:p w:rsidR="00AE3957" w:rsidRDefault="00AE3957" w:rsidP="00AE3957">
      <w:pPr>
        <w:autoSpaceDE w:val="0"/>
        <w:autoSpaceDN w:val="0"/>
        <w:adjustRightInd w:val="0"/>
        <w:spacing w:after="0" w:line="240" w:lineRule="auto"/>
        <w:rPr>
          <w:rFonts w:ascii="Arial" w:hAnsi="Arial" w:cs="Arial"/>
          <w:color w:val="000000"/>
          <w:sz w:val="23"/>
          <w:szCs w:val="23"/>
        </w:rPr>
      </w:pPr>
    </w:p>
    <w:p w:rsidR="00AE3957" w:rsidRDefault="00AE3957" w:rsidP="00AE3957">
      <w:pPr>
        <w:autoSpaceDE w:val="0"/>
        <w:autoSpaceDN w:val="0"/>
        <w:adjustRightInd w:val="0"/>
        <w:spacing w:after="0" w:line="240" w:lineRule="auto"/>
        <w:rPr>
          <w:rFonts w:ascii="Helvetica-Bold" w:hAnsi="Helvetica-Bold" w:cs="Helvetica-Bold"/>
          <w:b/>
          <w:bCs/>
          <w:sz w:val="17"/>
          <w:szCs w:val="17"/>
        </w:rPr>
      </w:pPr>
      <w:r>
        <w:rPr>
          <w:rFonts w:ascii="Arial" w:hAnsi="Arial" w:cs="Arial"/>
          <w:color w:val="000000"/>
          <w:sz w:val="23"/>
          <w:szCs w:val="23"/>
        </w:rPr>
        <w:t>Or San Diego County:</w:t>
      </w:r>
      <w:r w:rsidRPr="00016B82">
        <w:rPr>
          <w:rFonts w:ascii="Helvetica-Bold" w:hAnsi="Helvetica-Bold" w:cs="Helvetica-Bold"/>
          <w:b/>
          <w:bCs/>
          <w:sz w:val="17"/>
          <w:szCs w:val="17"/>
        </w:rPr>
        <w:t xml:space="preserve"> </w:t>
      </w:r>
      <w:r>
        <w:rPr>
          <w:rFonts w:ascii="Helvetica-Bold" w:hAnsi="Helvetica-Bold" w:cs="Helvetica-Bold"/>
          <w:b/>
          <w:bCs/>
          <w:sz w:val="17"/>
          <w:szCs w:val="17"/>
        </w:rPr>
        <w:t>Phone: (619) 692-8499; Fax: (858) 715-6458</w:t>
      </w:r>
    </w:p>
    <w:p w:rsidR="00AE3957" w:rsidRDefault="00AE3957" w:rsidP="00AE3957">
      <w:pPr>
        <w:autoSpaceDE w:val="0"/>
        <w:autoSpaceDN w:val="0"/>
        <w:adjustRightInd w:val="0"/>
        <w:spacing w:after="0" w:line="240" w:lineRule="auto"/>
        <w:rPr>
          <w:rFonts w:ascii="Helvetica-Bold" w:hAnsi="Helvetica-Bold" w:cs="Helvetica-Bold"/>
          <w:b/>
          <w:bCs/>
          <w:sz w:val="17"/>
          <w:szCs w:val="17"/>
        </w:rPr>
      </w:pPr>
      <w:r>
        <w:rPr>
          <w:rFonts w:ascii="Helvetica-Bold" w:hAnsi="Helvetica-Bold" w:cs="Helvetica-Bold"/>
          <w:b/>
          <w:bCs/>
          <w:sz w:val="17"/>
          <w:szCs w:val="17"/>
        </w:rPr>
        <w:t>Urgent Phone for pm/weekends/holidays: (858) 565-5255</w:t>
      </w:r>
    </w:p>
    <w:p w:rsidR="00AE3957" w:rsidRDefault="00AE3957" w:rsidP="00AE3957">
      <w:pPr>
        <w:autoSpaceDE w:val="0"/>
        <w:autoSpaceDN w:val="0"/>
        <w:adjustRightInd w:val="0"/>
        <w:spacing w:after="0" w:line="240" w:lineRule="auto"/>
        <w:rPr>
          <w:rFonts w:ascii="Helvetica-Bold" w:hAnsi="Helvetica-Bold" w:cs="Helvetica-Bold"/>
          <w:b/>
          <w:bCs/>
          <w:sz w:val="17"/>
          <w:szCs w:val="17"/>
        </w:rPr>
      </w:pPr>
    </w:p>
    <w:p w:rsidR="00BA38DA" w:rsidRDefault="00BA38DA" w:rsidP="00BA38DA">
      <w:pPr>
        <w:rPr>
          <w:rFonts w:ascii="Arial" w:hAnsi="Arial" w:cs="Arial"/>
          <w:color w:val="36495F"/>
          <w:sz w:val="21"/>
          <w:szCs w:val="21"/>
        </w:rPr>
      </w:pPr>
      <w:r>
        <w:rPr>
          <w:rFonts w:ascii="Arial" w:hAnsi="Arial" w:cs="Arial"/>
          <w:color w:val="000000"/>
          <w:sz w:val="21"/>
          <w:szCs w:val="21"/>
          <w:highlight w:val="yellow"/>
        </w:rPr>
        <w:t>OCHCA does not need to be informed of every suspect case who is tested for COVID-19 infection using a commercial laboratory.</w:t>
      </w:r>
      <w:r>
        <w:rPr>
          <w:rFonts w:ascii="Arial" w:hAnsi="Arial" w:cs="Arial"/>
          <w:color w:val="000000"/>
          <w:sz w:val="21"/>
          <w:szCs w:val="21"/>
        </w:rPr>
        <w:t xml:space="preserve"> But to assist with investigation and potential patient isolation, OCHCA should be informed of any symptomatic patient who fits any of the following criteria:</w:t>
      </w:r>
    </w:p>
    <w:p w:rsidR="00BA38DA" w:rsidRDefault="00BA38DA" w:rsidP="00BA38DA">
      <w:pPr>
        <w:rPr>
          <w:rFonts w:ascii="Arial" w:hAnsi="Arial" w:cs="Arial"/>
          <w:color w:val="36495F"/>
          <w:sz w:val="21"/>
          <w:szCs w:val="21"/>
        </w:rPr>
      </w:pPr>
    </w:p>
    <w:p w:rsidR="00BA38DA" w:rsidRDefault="00BA38DA" w:rsidP="00BA38DA">
      <w:pPr>
        <w:numPr>
          <w:ilvl w:val="0"/>
          <w:numId w:val="7"/>
        </w:numPr>
        <w:spacing w:after="0" w:line="240" w:lineRule="auto"/>
        <w:ind w:left="600" w:hanging="240"/>
        <w:rPr>
          <w:rFonts w:ascii="Arial" w:hAnsi="Arial" w:cs="Arial"/>
          <w:color w:val="000000"/>
          <w:sz w:val="21"/>
          <w:szCs w:val="21"/>
        </w:rPr>
      </w:pPr>
      <w:r>
        <w:rPr>
          <w:rFonts w:ascii="Arial" w:hAnsi="Arial" w:cs="Arial"/>
          <w:color w:val="000000"/>
          <w:sz w:val="21"/>
          <w:szCs w:val="21"/>
        </w:rPr>
        <w:t>Develops symptoms within 14 days of returning from a country of risk (including China, Italy, Iran, South Korea, and Japan)</w:t>
      </w:r>
    </w:p>
    <w:p w:rsidR="00BA38DA" w:rsidRDefault="00BA38DA" w:rsidP="00BA38DA">
      <w:pPr>
        <w:numPr>
          <w:ilvl w:val="0"/>
          <w:numId w:val="7"/>
        </w:numPr>
        <w:spacing w:after="0" w:line="240" w:lineRule="auto"/>
        <w:ind w:left="600" w:hanging="240"/>
        <w:rPr>
          <w:rFonts w:ascii="Arial" w:hAnsi="Arial" w:cs="Arial"/>
          <w:color w:val="000000"/>
          <w:sz w:val="21"/>
          <w:szCs w:val="21"/>
        </w:rPr>
      </w:pPr>
      <w:r>
        <w:rPr>
          <w:rFonts w:ascii="Arial" w:hAnsi="Arial" w:cs="Arial"/>
          <w:color w:val="000000"/>
          <w:sz w:val="21"/>
          <w:szCs w:val="21"/>
        </w:rPr>
        <w:t>Is a contact of a confirmed case (including health care workers)</w:t>
      </w:r>
    </w:p>
    <w:p w:rsidR="00BA38DA" w:rsidRDefault="00BA38DA" w:rsidP="00BA38DA">
      <w:pPr>
        <w:numPr>
          <w:ilvl w:val="0"/>
          <w:numId w:val="7"/>
        </w:numPr>
        <w:spacing w:after="0" w:line="240" w:lineRule="auto"/>
        <w:ind w:left="600" w:hanging="240"/>
        <w:rPr>
          <w:rFonts w:ascii="Arial" w:hAnsi="Arial" w:cs="Arial"/>
          <w:color w:val="000000"/>
          <w:sz w:val="21"/>
          <w:szCs w:val="21"/>
        </w:rPr>
      </w:pPr>
      <w:r>
        <w:rPr>
          <w:rFonts w:ascii="Arial" w:hAnsi="Arial" w:cs="Arial"/>
          <w:color w:val="000000"/>
          <w:sz w:val="21"/>
          <w:szCs w:val="21"/>
        </w:rPr>
        <w:t>Resides at a skilled nursing facility</w:t>
      </w:r>
      <w:bookmarkStart w:id="0" w:name="_GoBack"/>
      <w:bookmarkEnd w:id="0"/>
    </w:p>
    <w:p w:rsidR="00AE3957" w:rsidRDefault="00AE3957" w:rsidP="00AE3957">
      <w:pPr>
        <w:pStyle w:val="ListParagraph"/>
      </w:pPr>
    </w:p>
    <w:sectPr w:rsidR="00AE3957" w:rsidSect="00C85DE9">
      <w:pgSz w:w="12240" w:h="15840"/>
      <w:pgMar w:top="810" w:right="108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2D17"/>
    <w:multiLevelType w:val="hybridMultilevel"/>
    <w:tmpl w:val="CF72C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E1AF3"/>
    <w:multiLevelType w:val="hybridMultilevel"/>
    <w:tmpl w:val="BAFCE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645E1"/>
    <w:multiLevelType w:val="hybridMultilevel"/>
    <w:tmpl w:val="C1BCE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4C72F8"/>
    <w:multiLevelType w:val="hybridMultilevel"/>
    <w:tmpl w:val="D536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E36332"/>
    <w:multiLevelType w:val="hybridMultilevel"/>
    <w:tmpl w:val="9FCAA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610373"/>
    <w:multiLevelType w:val="hybridMultilevel"/>
    <w:tmpl w:val="ACFCF0D2"/>
    <w:lvl w:ilvl="0" w:tplc="0409000F">
      <w:start w:val="1"/>
      <w:numFmt w:val="decimal"/>
      <w:lvlText w:val="%1."/>
      <w:lvlJc w:val="left"/>
      <w:pPr>
        <w:ind w:left="720" w:hanging="360"/>
      </w:pPr>
      <w:rPr>
        <w:rFonts w:hint="default"/>
      </w:rPr>
    </w:lvl>
    <w:lvl w:ilvl="1" w:tplc="48487042">
      <w:numFmt w:val="bullet"/>
      <w:lvlText w:val="-"/>
      <w:lvlJc w:val="left"/>
      <w:pPr>
        <w:ind w:left="1440" w:hanging="360"/>
      </w:pPr>
      <w:rPr>
        <w:rFonts w:ascii="Calibri" w:eastAsiaTheme="minorHAnsi" w:hAnsi="Calibri" w:cs="Segoe U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7E3EB8"/>
    <w:multiLevelType w:val="multilevel"/>
    <w:tmpl w:val="CB621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3"/>
  </w:num>
  <w:num w:numId="6">
    <w:abstractNumId w:val="4"/>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D16"/>
    <w:rsid w:val="00016B82"/>
    <w:rsid w:val="00072D16"/>
    <w:rsid w:val="000B050E"/>
    <w:rsid w:val="00215987"/>
    <w:rsid w:val="002E3535"/>
    <w:rsid w:val="004541B7"/>
    <w:rsid w:val="004B314C"/>
    <w:rsid w:val="004E0568"/>
    <w:rsid w:val="0074410C"/>
    <w:rsid w:val="00745557"/>
    <w:rsid w:val="007B29D9"/>
    <w:rsid w:val="007F5F13"/>
    <w:rsid w:val="00881D4E"/>
    <w:rsid w:val="008B785D"/>
    <w:rsid w:val="0092430D"/>
    <w:rsid w:val="00AE3957"/>
    <w:rsid w:val="00B30947"/>
    <w:rsid w:val="00B768A1"/>
    <w:rsid w:val="00BA38DA"/>
    <w:rsid w:val="00C85DE9"/>
    <w:rsid w:val="00E63865"/>
    <w:rsid w:val="00F054BD"/>
    <w:rsid w:val="00F20957"/>
    <w:rsid w:val="00FD7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3D46"/>
  <w15:chartTrackingRefBased/>
  <w15:docId w15:val="{E7AABB82-C658-4DC5-930C-ECD6EEAE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D16"/>
    <w:pPr>
      <w:ind w:left="720"/>
      <w:contextualSpacing/>
    </w:pPr>
  </w:style>
  <w:style w:type="character" w:styleId="Hyperlink">
    <w:name w:val="Hyperlink"/>
    <w:basedOn w:val="DefaultParagraphFont"/>
    <w:uiPriority w:val="99"/>
    <w:semiHidden/>
    <w:unhideWhenUsed/>
    <w:rsid w:val="004B314C"/>
    <w:rPr>
      <w:color w:val="0000FF"/>
      <w:u w:val="single"/>
    </w:rPr>
  </w:style>
  <w:style w:type="character" w:customStyle="1" w:styleId="qd-test-centertest-detail-header--codes">
    <w:name w:val="qd-test-center__test-detail-header--codes"/>
    <w:basedOn w:val="DefaultParagraphFont"/>
    <w:rsid w:val="004541B7"/>
  </w:style>
  <w:style w:type="character" w:styleId="Strong">
    <w:name w:val="Strong"/>
    <w:basedOn w:val="DefaultParagraphFont"/>
    <w:uiPriority w:val="22"/>
    <w:qFormat/>
    <w:rsid w:val="00454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54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Ferreiro</dc:creator>
  <cp:keywords/>
  <dc:description/>
  <cp:lastModifiedBy>Pauer, Deborah</cp:lastModifiedBy>
  <cp:revision>2</cp:revision>
  <dcterms:created xsi:type="dcterms:W3CDTF">2020-03-09T20:31:00Z</dcterms:created>
  <dcterms:modified xsi:type="dcterms:W3CDTF">2020-03-09T20:31:00Z</dcterms:modified>
</cp:coreProperties>
</file>