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A2C" w:rsidRDefault="00F047E7" w:rsidP="00510562">
      <w:pPr>
        <w:pStyle w:val="Title"/>
      </w:pPr>
      <w:r>
        <w:t>Promoting Peace Amidst Group Conflict: An Intergroup Contact Field Experiment in Nigeria</w:t>
      </w:r>
    </w:p>
    <w:p w:rsidR="00B10A2C" w:rsidRDefault="00F047E7" w:rsidP="00510562">
      <w:pPr>
        <w:pStyle w:val="Author"/>
      </w:pPr>
      <w:r>
        <w:t>Christopher Grady, Rebecca Wolfe, Danjuma Dawop, and Lisa Inks</w:t>
      </w:r>
    </w:p>
    <w:p w:rsidR="00B10A2C" w:rsidRDefault="00F047E7" w:rsidP="00510562">
      <w:pPr>
        <w:pStyle w:val="Date"/>
      </w:pPr>
      <w:r>
        <w:t>September 16, 20</w:t>
      </w:r>
      <w:bookmarkStart w:id="0" w:name="_GoBack"/>
      <w:bookmarkEnd w:id="0"/>
      <w:r>
        <w:t>19</w:t>
      </w:r>
    </w:p>
    <w:p w:rsidR="00510562" w:rsidRDefault="00510562" w:rsidP="00510562">
      <w:pPr>
        <w:pStyle w:val="Heading1"/>
        <w:spacing w:line="480" w:lineRule="auto"/>
        <w:jc w:val="both"/>
      </w:pPr>
      <w:bookmarkStart w:id="1" w:name="introduction"/>
      <w:r>
        <w:t>Abstract</w:t>
      </w:r>
    </w:p>
    <w:p w:rsidR="00510562" w:rsidRPr="00510562" w:rsidRDefault="00510562" w:rsidP="00510562">
      <w:pPr>
        <w:pStyle w:val="BodyText"/>
        <w:spacing w:line="480" w:lineRule="auto"/>
        <w:jc w:val="both"/>
      </w:pPr>
      <w:r>
        <w:t xml:space="preserve">Group conflict should be avoidable through intergroup bargaining, yet group conflict is commonplace throughout the world.  We argue that psychological phenomena account for many bargaining failures by inducing barriers to bargaining through two psychological processes.  First, psychological phenomena prevent groups from developing intergroup trust by biasing interpretations of the behavior of the other side.  Second, psychological phenomena add costs to compromise because group members derive self-esteem from feelings of group superiority.  Interventions that abate these psychological barriers to bargaining should allow the groups to avoid violent conflict.  We test the ability of a contact-based intervention to promote peace between conflicting groups with a field experiment in Nigeria, where farmer and pastoralist communities are embroiled in a deadly conflict over land use.  We evaluate the program with surveys, direct observation of behavior, and a behavioral game.  We find that participation in the program increases intergroup contact, intergroup trust, and perceptions of physical security among group members; many of the program's effects also diffuse to group members who did not directly participate in the program but who lived alongside participants.  These results </w:t>
      </w:r>
      <w:r>
        <w:lastRenderedPageBreak/>
        <w:t>suggest that reducing barriers to bargaining between conflicting groups is possible, and that structured intergroup contact is a promising method to do so.</w:t>
      </w:r>
    </w:p>
    <w:p w:rsidR="00B10A2C" w:rsidRDefault="00F047E7" w:rsidP="00510562">
      <w:pPr>
        <w:pStyle w:val="Heading1"/>
        <w:spacing w:line="480" w:lineRule="auto"/>
        <w:jc w:val="both"/>
      </w:pPr>
      <w:r>
        <w:t>Introduction</w:t>
      </w:r>
      <w:bookmarkEnd w:id="1"/>
    </w:p>
    <w:p w:rsidR="00B10A2C" w:rsidRDefault="00F047E7" w:rsidP="00510562">
      <w:pPr>
        <w:pStyle w:val="FirstParagraph"/>
        <w:spacing w:line="480" w:lineRule="auto"/>
        <w:jc w:val="both"/>
      </w:pPr>
      <w:r>
        <w:t>Violent conflicts are one of most crucial phenomena for humans to overcome. As of 2018, violent conflicts forcibly displaced over 70 million people from their homes (UNHCR statistical yearbook 2019), caused 2 million deaths since the year 2000 (Sundberg an</w:t>
      </w:r>
      <w:r>
        <w:t>d Melander 2013), threatened food supplies in numerous countries (Verwimp and others 2012), and extracted a psychological toll on participants and victims. Despite extensive research, no means of consistently preventing violent conflict between groups is k</w:t>
      </w:r>
      <w:r>
        <w:t>nown.</w:t>
      </w:r>
    </w:p>
    <w:p w:rsidR="00B10A2C" w:rsidRDefault="00F047E7" w:rsidP="00510562">
      <w:pPr>
        <w:pStyle w:val="BodyText"/>
        <w:spacing w:line="480" w:lineRule="auto"/>
        <w:jc w:val="both"/>
      </w:pPr>
      <w:r>
        <w:t>To understand what causes some groups to engage in violent conflict while others maintain peaceful relations, we join many conflict scholars in conceptualizing group conflict as a bargaining failure (Fearon 1994b, 1995; Powell 2006). In the bargainin</w:t>
      </w:r>
      <w:r>
        <w:t xml:space="preserve">g framework, both groups want some resource – land, power, etc – and must decide how to distribute that resource. The groups can either bargain and split the resource or groups can fight to claim all of the resource. Fighting is costly, so both groups are </w:t>
      </w:r>
      <w:r>
        <w:t>better off finding a bargained solution than fighting. Though both groups materially benefit from a bargained peace, many peace negotiations fail. The literature points to a lack of intergroup trust as the primary obstacle to peace: bargaining fails if nei</w:t>
      </w:r>
      <w:r>
        <w:t>ther group trusts the other side to be truthful or to honor bargained agreements (Kydd 2000; Rohner, Thoenig, and Zilibotti 2013). Without a reason to trust each other, groups are likely to fight despite the costs to both sides.</w:t>
      </w:r>
    </w:p>
    <w:p w:rsidR="00B10A2C" w:rsidRDefault="00F047E7" w:rsidP="00510562">
      <w:pPr>
        <w:pStyle w:val="BodyText"/>
        <w:spacing w:line="480" w:lineRule="auto"/>
        <w:jc w:val="both"/>
      </w:pPr>
      <w:r>
        <w:lastRenderedPageBreak/>
        <w:t>A number of psychological p</w:t>
      </w:r>
      <w:r>
        <w:t>henomena complicate trust-building between opposing groups. First, these groups hold biased perceptions of their own behavior and the behavior of the other side (Duncan 1976; Vallone, Ross, and Lepper 1985; Ward et al. 1997). Groups perceive their own bell</w:t>
      </w:r>
      <w:r>
        <w:t>igerent actions as defensive and justified, and perceive the defensive actions of the other side as belligerent and gratuitous. These perceptual biases create and reinforce outgroup mistrust and other negative stereotypes (Hewstone 1990). Second, groups in</w:t>
      </w:r>
      <w:r>
        <w:t xml:space="preserve"> conflict derive psychological benefits from feelings of moral superiority over the outgroup (Cikara et al. 2014; Fein and Spencer 1997; Tajfel and Turner 1979). These feelings of moral superiority add costs to improving attitudes about the outgroup and to</w:t>
      </w:r>
      <w:r>
        <w:t xml:space="preserve"> cooperating with the outgroup. These two psychological phenomena sabotage intergroup bargaining by causing the groups to have inaccurate beliefs about each other and by limiting peace agreements acceptable to both sides.</w:t>
      </w:r>
    </w:p>
    <w:p w:rsidR="00B10A2C" w:rsidRDefault="00F047E7" w:rsidP="00510562">
      <w:pPr>
        <w:pStyle w:val="BodyText"/>
        <w:spacing w:line="480" w:lineRule="auto"/>
        <w:jc w:val="both"/>
      </w:pPr>
      <w:r>
        <w:t>Groups in conflict have few natura</w:t>
      </w:r>
      <w:r>
        <w:t>l opportunities to build trust and many to degrade it. We argue that cooperative intergroup contact provides opportunities to build intergroup trust and can improve the prospects for peaceful negotiation. Directly, cooperative face-to-face contact provides</w:t>
      </w:r>
      <w:r>
        <w:t xml:space="preserve"> groups the opportunity to send costly signals about their trustworthiness and preference for peace (Bohnet and Frey 1999; Kydd 2000; Lupia, McCubbins, and Arthur 1998; Rohner, Thoenig, and Zilibotti 2013). Indirectly, cooperative contact ameliorates the p</w:t>
      </w:r>
      <w:r>
        <w:t>sychological biases that breed mistrust by reducing the anxiety felt from intergroup interaction (Lee 2001; Page-Gould, Mendoza-Denton, and Tropp 2008), increasing empathy for members of the other group (Broockman and Kalla 2016; Pettigrew and Tropp 2008),</w:t>
      </w:r>
      <w:r>
        <w:t xml:space="preserve"> and providing information about the other group that replaces negative stereotypes (Allport 1954; Pettigrew and Tropp 2008). Cooperative contact can also </w:t>
      </w:r>
      <w:r>
        <w:lastRenderedPageBreak/>
        <w:t>demonstrate to groups the material benefits of cooperation (Gaertner et al. 2000; Sherif 1958) and ca</w:t>
      </w:r>
      <w:r>
        <w:t>n form a superordinate identity that encompasses both groups (Gaertner and Dovidio 2014). Cooperative contact for some group members can diffuse throughout the entire group through the process of indirect contact (knowledge of friendships between ingroup a</w:t>
      </w:r>
      <w:r>
        <w:t>nd outgroup members) and changes to social norms (Crisp and Turner 2009; Paolini et al. 2004; Sen and Airiau 2007; Yablon 2012).</w:t>
      </w:r>
    </w:p>
    <w:p w:rsidR="00B10A2C" w:rsidRDefault="00F047E7" w:rsidP="00510562">
      <w:pPr>
        <w:pStyle w:val="BodyText"/>
        <w:spacing w:line="480" w:lineRule="auto"/>
        <w:jc w:val="both"/>
      </w:pPr>
      <w:r>
        <w:t xml:space="preserve">To determine if cooperative contact improves intergroup attitudes, we conducted a field experiment with conflicting farmer and </w:t>
      </w:r>
      <w:r>
        <w:t xml:space="preserve">pastoralist communities in Nigeria. More than an occupational difference, farmers who cultivate crops and pastoralists who graze cattle define a major social cleavage in many parts of the world. These groups conflict over land rights, which define both of </w:t>
      </w:r>
      <w:r>
        <w:t>their livelihoods. Farmer-pastoralist conflict has escalated throughout the Sahel in recent years, and nowhere more than in Nigeria. The most recent conflict escalation has caused 7,000 deaths in the past five years, displaced hundreds of thousands of peop</w:t>
      </w:r>
      <w:r>
        <w:t>le from their homes, and costs $13 billion annually in lost economic productivity (Akinwotu 2018; Daniel 2018; Harwood 2019; McDougal et al. 2015).</w:t>
      </w:r>
    </w:p>
    <w:p w:rsidR="00B10A2C" w:rsidRDefault="00F047E7" w:rsidP="00510562">
      <w:pPr>
        <w:pStyle w:val="BodyText"/>
        <w:spacing w:line="480" w:lineRule="auto"/>
        <w:jc w:val="both"/>
      </w:pPr>
      <w:r>
        <w:t>We randomly assigned communities with ongoing farmer-pastoralist violence to receive a contact-based peacebu</w:t>
      </w:r>
      <w:r>
        <w:t>ilding intervention or serve as a control group. The intervention formed mixed-group committees and provided them with funds to build infrastructure that would benefit both communities; committees then collaboratively chose and constructed infrastructure p</w:t>
      </w:r>
      <w:r>
        <w:t>rojects.</w:t>
      </w:r>
      <w:r>
        <w:rPr>
          <w:rStyle w:val="FootnoteReference"/>
        </w:rPr>
        <w:footnoteReference w:id="1"/>
      </w:r>
      <w:r>
        <w:t xml:space="preserve"> The program also provided mediation training to each community’s leaders and held forums where the groups discussed the underlying drivers </w:t>
      </w:r>
      <w:r>
        <w:lastRenderedPageBreak/>
        <w:t>of conflict. To measure the effects of the intervention, we conducted pre- and post-intervention surveys, a</w:t>
      </w:r>
      <w:r>
        <w:t xml:space="preserve"> post-intervention natural public goods behavioral game,</w:t>
      </w:r>
      <w:r>
        <w:rPr>
          <w:rStyle w:val="FootnoteReference"/>
        </w:rPr>
        <w:footnoteReference w:id="2"/>
      </w:r>
      <w:r>
        <w:t xml:space="preserve"> and twelve months of systematic observations in markets and social events during the intervention.</w:t>
      </w:r>
    </w:p>
    <w:p w:rsidR="00B10A2C" w:rsidRDefault="00F047E7" w:rsidP="00510562">
      <w:pPr>
        <w:pStyle w:val="BodyText"/>
        <w:spacing w:line="480" w:lineRule="auto"/>
        <w:jc w:val="both"/>
      </w:pPr>
      <w:r>
        <w:t>We find that the program increased intergroup trust, intergroup contact, and perceptions of physica</w:t>
      </w:r>
      <w:r>
        <w:t xml:space="preserve">l security. We see signs of the positive effects in fieldwork as well as in data – in one of the treatment sites, farmers defended pastoralists from a group of anti-pastoralist vigilantes, rather than assist the vigilantes in removing the pastoralists and </w:t>
      </w:r>
      <w:r>
        <w:t>claiming their land. Our results also show that the intervention affected communities as a whole, not just community members directly involved in the intergroup contact. Individuals who directly engaged in intergroup contact changed the most positively fro</w:t>
      </w:r>
      <w:r>
        <w:t>m baseline to endline, but we also observe positive spillovers of trust to group members for whom we did not exogenously increase intergroup contact.</w:t>
      </w:r>
    </w:p>
    <w:p w:rsidR="00B10A2C" w:rsidRDefault="00F047E7" w:rsidP="00510562">
      <w:pPr>
        <w:pStyle w:val="BodyText"/>
        <w:spacing w:line="480" w:lineRule="auto"/>
        <w:jc w:val="both"/>
      </w:pPr>
      <w:r>
        <w:t>This study expands our knowledge about intergroup conflict in several ways. First, this study teaches us a</w:t>
      </w:r>
      <w:r>
        <w:t xml:space="preserve">bout the capacity of intergroup contact to improve intergroup relations and reduce conflict. Peacebuilding organizations implement numerous contact-based interventions in violent contexts each year (Ditlmann, Samii, and Zeitzoff 2017), but its efficacy to </w:t>
      </w:r>
      <w:r>
        <w:t xml:space="preserve">improve intergroup attitudes amid real-world conflict is an open question (Ditlmann, Samii, and Zeitzoff 2017; Paluck, Green, and Green 2017). To our knowledge </w:t>
      </w:r>
      <w:r>
        <w:lastRenderedPageBreak/>
        <w:t xml:space="preserve">this is the first field experimental test of a contact-based intervention implemented during an </w:t>
      </w:r>
      <w:r>
        <w:t>active conflict. Each of the groups in our study were part of an active conflict, with members of each side being killed within one year of the intervention’s onset. We evaluated the program’s effects on both attitudinal and behavioral outcomes. The result</w:t>
      </w:r>
      <w:r>
        <w:t>s suggest that contact-based peacebuilding programs can effectively improve relationships between conflicting groups and is especially relevant to conflict resolution in the cases of intergroup and intercommunal conflicts.</w:t>
      </w:r>
    </w:p>
    <w:p w:rsidR="00B10A2C" w:rsidRDefault="00F047E7" w:rsidP="00510562">
      <w:pPr>
        <w:pStyle w:val="BodyText"/>
        <w:spacing w:line="480" w:lineRule="auto"/>
        <w:jc w:val="both"/>
      </w:pPr>
      <w:r>
        <w:t>Second, we contribute to the lite</w:t>
      </w:r>
      <w:r>
        <w:t>rature about informal structures, such as social norms, in solving collective action problems. In some contexts, formal institutions ensure collective action by punishing groups and individuals who “defect” on agreements. In many contexts, such as rural Ni</w:t>
      </w:r>
      <w:r>
        <w:t>geria, no formal institutions exist to encourage such behavior and so groups in those contexts develop informal structures to achieve collective action (Ostrom 2000). This peacebuilding intervention showed how informal structures governing interactions bet</w:t>
      </w:r>
      <w:r>
        <w:t>ween groups can develop through repeated intergroup interaction. Creating informal structures that diffuse the effects of contact are a way of scaling up peacebuilding interventions.</w:t>
      </w:r>
    </w:p>
    <w:p w:rsidR="00B10A2C" w:rsidRDefault="00F047E7" w:rsidP="00510562">
      <w:pPr>
        <w:pStyle w:val="BodyText"/>
        <w:spacing w:line="480" w:lineRule="auto"/>
        <w:jc w:val="both"/>
      </w:pPr>
      <w:r>
        <w:t>Third, this paper teaches us about settling disputes between sedentary pe</w:t>
      </w:r>
      <w:r>
        <w:t>oples and nomadic peoples. Violent conflict between settled peoples and nomadic peoples is on the rise throughout Africa (Kuusaana and Bukari 2015; Mwamfupe 2015; Nnoko-Mewanu 2018). This study focuses on the Fulani, the largest semi-nomadic people on Eart</w:t>
      </w:r>
      <w:r>
        <w:t xml:space="preserve">h (Encyclopedia 2017). Their way of life makes them targets for violence throughout Africa. Along with this conflict in Nigeria, Fulani in Mali have been the targets of violence so severe </w:t>
      </w:r>
      <w:r>
        <w:lastRenderedPageBreak/>
        <w:t>that researchers at Armed Conflict Location &amp; Event Data Project cal</w:t>
      </w:r>
      <w:r>
        <w:t>led it “ethnic cleansing” (Economist 2019). Understanding how to prevent violent conflict between Fulani and settled peoples can help prevent violence that targets other nomadic and semi-nomadic peoples, such as the Tuaregs in West Africa, Uyghurs in Centr</w:t>
      </w:r>
      <w:r>
        <w:t>al Asia, Kochi in Afghanistan, and Khoisan of Southern Africa. Preventing such violence could help preserve a dying way of life.</w:t>
      </w:r>
    </w:p>
    <w:p w:rsidR="00B10A2C" w:rsidRDefault="00F047E7" w:rsidP="00510562">
      <w:pPr>
        <w:pStyle w:val="BodyText"/>
        <w:spacing w:line="480" w:lineRule="auto"/>
        <w:jc w:val="both"/>
      </w:pPr>
      <w:r>
        <w:t>In the next section we provide a theoretical framework for how and why opposing groups struggle to solve their disagreements th</w:t>
      </w:r>
      <w:r>
        <w:t>rough bargaining and negotiation, and argue that cooperative contact can help these groups resolve disagreements by improving intergroup trust. We then discuss Nigeria’s farmer-pastoralist conflict, our experimental intervention, and two designs to evaluat</w:t>
      </w:r>
      <w:r>
        <w:t>e the effect of the intervention. Last we present the results of the study and conclude by discussing their implications for intergroup contact and group conflict.</w:t>
      </w:r>
    </w:p>
    <w:p w:rsidR="00B10A2C" w:rsidRDefault="00F047E7" w:rsidP="00510562">
      <w:pPr>
        <w:pStyle w:val="Heading1"/>
        <w:spacing w:line="480" w:lineRule="auto"/>
        <w:jc w:val="both"/>
      </w:pPr>
      <w:bookmarkStart w:id="2" w:name="theory"/>
      <w:r>
        <w:t>Theory</w:t>
      </w:r>
      <w:bookmarkEnd w:id="2"/>
    </w:p>
    <w:p w:rsidR="00B10A2C" w:rsidRDefault="00F047E7" w:rsidP="00510562">
      <w:pPr>
        <w:pStyle w:val="Heading2"/>
        <w:spacing w:line="480" w:lineRule="auto"/>
        <w:jc w:val="both"/>
      </w:pPr>
      <w:bookmarkStart w:id="3" w:name="X745205afaade3f6f5a6b78503e187a94bd6ad34"/>
      <w:r>
        <w:t>Intergroup Conflict as a Bargaining Problem</w:t>
      </w:r>
      <w:bookmarkEnd w:id="3"/>
    </w:p>
    <w:p w:rsidR="00B10A2C" w:rsidRDefault="00F047E7" w:rsidP="00510562">
      <w:pPr>
        <w:pStyle w:val="FirstParagraph"/>
        <w:spacing w:line="480" w:lineRule="auto"/>
        <w:jc w:val="both"/>
      </w:pPr>
      <w:r>
        <w:t>Intergroup conflict is most often concept</w:t>
      </w:r>
      <w:r>
        <w:t xml:space="preserve">ualized as a bargaining problem (Fearon 1994b; Powell 2006), and most solutions to reducing intergroup conflict strive to help the groups overcome barriers to bargaining (Di Salvatore and Ruggeri 2017) . Intergroup conflict is a bargaining problem because </w:t>
      </w:r>
      <w:r>
        <w:t xml:space="preserve">both groups want some resource – land, power, etc – but cannot reach an agreement about how to distribute that resource peacefully. Because </w:t>
      </w:r>
      <w:r>
        <w:lastRenderedPageBreak/>
        <w:t>fighting is costly, the groups are better off reaching a bargained compromise than fighting. However, two problems p</w:t>
      </w:r>
      <w:r>
        <w:t>revent successful bargaining: information problems and commitment problems (Fearon 1995). Groups are less likely to successfully bargain without (1) accurate information about each other’s strengths and preferences, and/or (2) assurance that each side will</w:t>
      </w:r>
      <w:r>
        <w:t xml:space="preserve"> abide by its agreements.</w:t>
      </w:r>
    </w:p>
    <w:p w:rsidR="00B10A2C" w:rsidRDefault="00F047E7" w:rsidP="00510562">
      <w:pPr>
        <w:pStyle w:val="BodyText"/>
        <w:spacing w:line="480" w:lineRule="auto"/>
        <w:jc w:val="both"/>
      </w:pPr>
      <w:r>
        <w:t xml:space="preserve">An </w:t>
      </w:r>
      <w:r>
        <w:rPr>
          <w:i/>
        </w:rPr>
        <w:t>information problem</w:t>
      </w:r>
      <w:r>
        <w:t xml:space="preserve"> arises when neither group possesses accurate information about the other. This problem can occur for many reasons, but often surfaces because independent and accurate information is unavailable and because g</w:t>
      </w:r>
      <w:r>
        <w:t>roups have an incentive to portray themselves as stronger, more willing to fight, and less willing to make concessions than they truly are in order to achieve an advantageous bargaining outcome (Fearon 1995). An information problem causes bargaining failur</w:t>
      </w:r>
      <w:r>
        <w:t>es because neither group knows what agreements the other side is willing to accept or what their side should receive from bargaining.</w:t>
      </w:r>
    </w:p>
    <w:p w:rsidR="00B10A2C" w:rsidRDefault="00F047E7" w:rsidP="00510562">
      <w:pPr>
        <w:pStyle w:val="BodyText"/>
        <w:spacing w:line="480" w:lineRule="auto"/>
        <w:jc w:val="both"/>
      </w:pPr>
      <w:r>
        <w:t xml:space="preserve">A </w:t>
      </w:r>
      <w:r>
        <w:rPr>
          <w:i/>
        </w:rPr>
        <w:t>commitment problem</w:t>
      </w:r>
      <w:r>
        <w:t xml:space="preserve"> arises when neither group can credibly commit to honor bargained agreements. This problem can also oc</w:t>
      </w:r>
      <w:r>
        <w:t>cur for many reasons, but often surfaces due to the potential for bargaining power to shift after an agreement. If bargaining power shifts after an agreement, one side will have an incentive to renege on that agreement to achieve a better outcome. A commit</w:t>
      </w:r>
      <w:r>
        <w:t>ment problem causes bargaining failures because neither group will commit to agreements today that they believe will be broken tomorrow.</w:t>
      </w:r>
      <w:r>
        <w:rPr>
          <w:rStyle w:val="FootnoteReference"/>
        </w:rPr>
        <w:footnoteReference w:id="3"/>
      </w:r>
    </w:p>
    <w:p w:rsidR="00B10A2C" w:rsidRDefault="00F047E7" w:rsidP="00510562">
      <w:pPr>
        <w:pStyle w:val="BodyText"/>
        <w:spacing w:line="480" w:lineRule="auto"/>
        <w:jc w:val="both"/>
      </w:pPr>
      <w:r>
        <w:lastRenderedPageBreak/>
        <w:t>Groups in conflict overcome information and commitment problems in two main ways. The first way is through third-parti</w:t>
      </w:r>
      <w:r>
        <w:t>es. Third parties can solve information problems by mediating disputes, providing accurate information to both sides (Kydd 2006). Third parties can also solve commitment problems by intervening to punish defection from agreements. Though each group may hav</w:t>
      </w:r>
      <w:r>
        <w:t>e an incentive to defect on an agreement after it is made, the groups have less incentive to defect if a strong third party is capable of and willing to punish defection from bargained agreements (Fearon 1995).</w:t>
      </w:r>
    </w:p>
    <w:p w:rsidR="00B10A2C" w:rsidRDefault="00F047E7" w:rsidP="00510562">
      <w:pPr>
        <w:pStyle w:val="BodyText"/>
        <w:spacing w:line="480" w:lineRule="auto"/>
        <w:jc w:val="both"/>
      </w:pPr>
      <w:r>
        <w:t>The second way groups solve information and c</w:t>
      </w:r>
      <w:r>
        <w:t>ommitment problems is through forming trustworthy reputations and the possibility of future interactions (Kydd 2000). Reputations and future interactions can solve information and commitment problems because dishonesty and defection damage a group’s reputa</w:t>
      </w:r>
      <w:r>
        <w:t>tion, worsening that group’s prospects for future bargaining. Groups with reputations for cooperation are likely to elicit cooperation in future interactions; groups with reputations for defection are likely to elicit defection in future interactions (Axel</w:t>
      </w:r>
      <w:r>
        <w:t>rod and Hamilton 1981; Kydd 2000; Ostrom and Walker 2003). Though each group may improve its current outcome by defecting on the current agreement, the groups have less incentive to defect if defection will worsen future bargaining outcomes. These mechanis</w:t>
      </w:r>
      <w:r>
        <w:t>ms apply to future interactions between the same two groups and to future interactions with other potential bargaining partners.</w:t>
      </w:r>
      <w:r>
        <w:rPr>
          <w:rStyle w:val="FootnoteReference"/>
        </w:rPr>
        <w:footnoteReference w:id="4"/>
      </w:r>
      <w:r>
        <w:t xml:space="preserve">  </w:t>
      </w:r>
    </w:p>
    <w:p w:rsidR="00B10A2C" w:rsidRDefault="00F047E7" w:rsidP="00510562">
      <w:pPr>
        <w:pStyle w:val="Heading2"/>
        <w:spacing w:line="480" w:lineRule="auto"/>
        <w:jc w:val="both"/>
      </w:pPr>
      <w:bookmarkStart w:id="4" w:name="the-persistence-of-intergroup-conflict"/>
      <w:r>
        <w:lastRenderedPageBreak/>
        <w:t>The Persistence of Intergroup Conflict</w:t>
      </w:r>
      <w:bookmarkEnd w:id="4"/>
    </w:p>
    <w:p w:rsidR="00B10A2C" w:rsidRDefault="00F047E7" w:rsidP="00510562">
      <w:pPr>
        <w:pStyle w:val="FirstParagraph"/>
        <w:spacing w:line="480" w:lineRule="auto"/>
        <w:jc w:val="both"/>
      </w:pPr>
      <w:r>
        <w:t>If scholars and practitioners know how to solve the information and commitment proble</w:t>
      </w:r>
      <w:r>
        <w:t xml:space="preserve">ms that cause intergroup conflict, why does conflict persist? First, it is not possible for third parties to mediate or intervene into every conflict. Sometimes no third party is willing or able to become involved (Fey and Ramsay 2010, 530), and sometimes </w:t>
      </w:r>
      <w:r>
        <w:t>the conflict is too decentralized for a third party to effectively mediate or intervene. This situation is common for internal conflicts in weak states, where conflicts are diffuse and the state lacks the capacity to mediate or intervene into the conflict.</w:t>
      </w:r>
      <w:r>
        <w:t xml:space="preserve"> Second, third party mediation and intervention are not effective in all contexts (Autesserre 2017; Beardsley 2008; Beber 2012; Weinstein 2005).</w:t>
      </w:r>
    </w:p>
    <w:p w:rsidR="00B10A2C" w:rsidRDefault="00F047E7" w:rsidP="00510562">
      <w:pPr>
        <w:pStyle w:val="BodyText"/>
        <w:spacing w:line="480" w:lineRule="auto"/>
        <w:jc w:val="both"/>
      </w:pPr>
      <w:r>
        <w:t>Where third parties cannot effectively intervene, conflicting groups could negotiate based on reputation, but r</w:t>
      </w:r>
      <w:r>
        <w:t xml:space="preserve">eputations are more likely to hinder than to help the bargaining of groups in conflict. Psychological phenomena introduce significant friction in the ability of groups to build trusting reputations. Group members interpret the defensive action by outgroup </w:t>
      </w:r>
      <w:r>
        <w:t xml:space="preserve">members as belligerent and threatening, while they see their own belligerent actions as defensive and justified (Duncan 1976; Vallone, Ross, and Lepper 1985; Ward et al. 1997). Even positive actions by outgroup members may be re-interpreted as negative to </w:t>
      </w:r>
      <w:r>
        <w:t>avoid cognitive dissonance (Gubler 2013; Paolini, Harwood, and Rubin 2010). Group members then attribute those negative outgroup behaviors to internal characteristics that define all outgroup members (Hewstone 1990). At the same time, they under-generalize</w:t>
      </w:r>
      <w:r>
        <w:t xml:space="preserve"> </w:t>
      </w:r>
      <w:r>
        <w:lastRenderedPageBreak/>
        <w:t>positive behaviors as exceptional to the outgroup and selectively remember events that corroborate their pre-existing negative perceptions (De Dreu, Nijstad, and Knippenberg 2008). These tendencies lead group members to ascribe negative traits, like immor</w:t>
      </w:r>
      <w:r>
        <w:t>ality and untrustworthiness, to outgroups (Brewer 1999; Eidelson and Eidelson 2003; LeVine and Campbell 1972; Tajfel 1981).</w:t>
      </w:r>
    </w:p>
    <w:p w:rsidR="00B10A2C" w:rsidRDefault="00F047E7" w:rsidP="00510562">
      <w:pPr>
        <w:pStyle w:val="BodyText"/>
        <w:spacing w:line="480" w:lineRule="auto"/>
        <w:jc w:val="both"/>
      </w:pPr>
      <w:r>
        <w:t>Biased perceptions of outgroup members prevent conflicting groups from developing positive reputations, even when both groups are mo</w:t>
      </w:r>
      <w:r>
        <w:t>tivated to end the conflict. The primary way that groups reassure each other of cooperative intentions is through costly signals, but groups in conflict may interpret these costly signals inaccurately and fail to update their perception of the other side’s</w:t>
      </w:r>
      <w:r>
        <w:t xml:space="preserve"> willingness to cooperate (Kydd 2000; Rohner, Thoenig, and Zilibotti 2013). Groups also reactively devalue any compromise the outgroup is willing to concede, lowering the perceived costliness of any cooperative signal (Ross and Stillinger 1991; Ward et al.</w:t>
      </w:r>
      <w:r>
        <w:t xml:space="preserve"> 1997). The inability to cultivate positive reputations through costly signals prevents groups from forming the trusting relationships needed to solve commitment problems. These biases also exacerbate information problems by preventing accurate perceptions</w:t>
      </w:r>
      <w:r>
        <w:t xml:space="preserve"> of the preferences of the outgroup and by distorting perceptions of which group is in the wrong and should make concessions (Ward et al. 1997). These perceptions, once arisen, are very difficult to correct (Kunda 1990; Nyhan and Reifler 2010).</w:t>
      </w:r>
    </w:p>
    <w:p w:rsidR="00B10A2C" w:rsidRDefault="00F047E7" w:rsidP="00510562">
      <w:pPr>
        <w:pStyle w:val="BodyText"/>
        <w:spacing w:line="480" w:lineRule="auto"/>
        <w:jc w:val="both"/>
      </w:pPr>
      <w:r>
        <w:t>Compounding</w:t>
      </w:r>
      <w:r>
        <w:t xml:space="preserve"> these perceptual problems, reputations for trustworthiness are hampered by a lack of opportunities to learn about the other side from observing their interactions with other groups. Even if opportunities are available, few of the outgroup’s interactions </w:t>
      </w:r>
      <w:r>
        <w:lastRenderedPageBreak/>
        <w:t>w</w:t>
      </w:r>
      <w:r>
        <w:t>ill be with groups that are relevant for predicting the outgroup’s behavior towards the ingroup, reducing the usefulness of observational learning (Kazdin 1974; Yang 2013). The main opportunity to observe outgroup behavior and learn their reputation is the</w:t>
      </w:r>
      <w:r>
        <w:t xml:space="preserve"> ingroup’s own interactions with the outgroup. For groups in conflict, these opportunities are likely rare and almost always adversarial.</w:t>
      </w:r>
    </w:p>
    <w:p w:rsidR="00B10A2C" w:rsidRDefault="00F047E7" w:rsidP="00510562">
      <w:pPr>
        <w:pStyle w:val="BodyText"/>
        <w:spacing w:line="480" w:lineRule="auto"/>
        <w:jc w:val="both"/>
      </w:pPr>
      <w:r>
        <w:t>If groups overcome their biased perceptions of the other side and solve information and commitment problems, psycholog</w:t>
      </w:r>
      <w:r>
        <w:t>ical phenomena provide further barriers to the peaceful resolution of conflict. From a purely material standpoint, groups should prefer peace to conflict because they expect conflict to be more costly than peace. However, when forming preferences for confl</w:t>
      </w:r>
      <w:r>
        <w:t>ict or peace, groups also weigh psychological and social factors. For groups in conflict, these psychological and social factors add costs to cooperation and benefits to conflict. Factoring in these costs and benefits, groups may be prevented from reaching</w:t>
      </w:r>
      <w:r>
        <w:t xml:space="preserve"> a bargain because there is no bargain that both groups will accept.</w:t>
      </w:r>
    </w:p>
    <w:p w:rsidR="00B10A2C" w:rsidRDefault="00F047E7" w:rsidP="00510562">
      <w:pPr>
        <w:pStyle w:val="BodyText"/>
        <w:spacing w:line="480" w:lineRule="auto"/>
        <w:jc w:val="both"/>
      </w:pPr>
      <w:r>
        <w:t>Group members suffer psychological costs from bargains that do not favor their group at the expense of the outgroup. Group members derive self-esteem from positively comparing their group to a rival group, and any agreement that acknowledges both groups as</w:t>
      </w:r>
      <w:r>
        <w:t xml:space="preserve"> equals challenges that group-based boost to self-esteem (Brewer 1999; Fein and Spencer 1997; Tajfel 1981; Tajfel and Turner 1979; Wood 2000). As a result, group members are willing to accept lower absolute gains to increase relative gain over the outgroup</w:t>
      </w:r>
      <w:r>
        <w:t xml:space="preserve"> (Turner, Brown, and Tajfel 1979). Group members may also receive psychological benefit from </w:t>
      </w:r>
      <w:r>
        <w:rPr>
          <w:i/>
        </w:rPr>
        <w:t>harming</w:t>
      </w:r>
      <w:r>
        <w:t xml:space="preserve"> the outgroup (Cikara et al. 2014; Weisel and Böhm 2015), and a peace agreement prohibits </w:t>
      </w:r>
      <w:r>
        <w:lastRenderedPageBreak/>
        <w:t>group members from receiving those benefits. These psychological p</w:t>
      </w:r>
      <w:r>
        <w:t>henomena add costs to peace agreements.</w:t>
      </w:r>
    </w:p>
    <w:p w:rsidR="00B10A2C" w:rsidRDefault="00F047E7" w:rsidP="00510562">
      <w:pPr>
        <w:pStyle w:val="BodyText"/>
        <w:spacing w:line="480" w:lineRule="auto"/>
        <w:jc w:val="both"/>
      </w:pPr>
      <w:r>
        <w:t>Along with psychological factors that prevent peace, social factors push groups towards conflict. Group members receive rewards for conforming to group norms and punishments for violating group norms (Abrams et al. 1</w:t>
      </w:r>
      <w:r>
        <w:t>990; Bendor and Swistak 2001; Hogg and Reid 2006).</w:t>
      </w:r>
      <w:r>
        <w:rPr>
          <w:rStyle w:val="FootnoteReference"/>
        </w:rPr>
        <w:footnoteReference w:id="5"/>
      </w:r>
      <w:r>
        <w:t xml:space="preserve"> In the context of group competition, group norms can encourage aggressive behaviors towards the outgroup and deter intergroup cooperation (Dreu 2010). Group members and leaders disposed to negotiation may</w:t>
      </w:r>
      <w:r>
        <w:t xml:space="preserve"> find themselves unable to compromise with the other side due to social pressure (Fearon 1994a). Groups in active conflict might also not engage in ingroup policing, a strong, costly signal to the other side that your group will uphold its peace agreements</w:t>
      </w:r>
      <w:r>
        <w:t xml:space="preserve"> (Fearon and Laitin 1996).</w:t>
      </w:r>
      <w:r>
        <w:rPr>
          <w:rStyle w:val="FootnoteReference"/>
        </w:rPr>
        <w:footnoteReference w:id="6"/>
      </w:r>
      <w:r>
        <w:t xml:space="preserve"> Social sanctions for cooperative behavior, and encouragement for antagonistic behavior, reduce the benefits and increase the costs of peace.</w:t>
      </w:r>
    </w:p>
    <w:p w:rsidR="00B10A2C" w:rsidRDefault="00F047E7" w:rsidP="00510562">
      <w:pPr>
        <w:pStyle w:val="BodyText"/>
        <w:spacing w:line="480" w:lineRule="auto"/>
        <w:jc w:val="both"/>
      </w:pPr>
      <w:r>
        <w:t>Group conflict is solvable by bargaining. However, group conflict persists because psyc</w:t>
      </w:r>
      <w:r>
        <w:t xml:space="preserve">hological biases discourage intergroup trust and color each side’s perceptions of the facts of the conflict. Psychological evaluations and social pressures also add non-material </w:t>
      </w:r>
      <w:r>
        <w:lastRenderedPageBreak/>
        <w:t>costs to peace and non-material benefits to conflict, reducing the number of p</w:t>
      </w:r>
      <w:r>
        <w:t>eace agreements acceptable to both sides. Together, these psychological barriers to peace reduce the likelihood of successful bargaining and makes violent conflict more likely. Removing these psychological barriers may be key for reducing group conflict. T</w:t>
      </w:r>
      <w:r>
        <w:t>he next section proposes structured intergroup contact as a method for removing those barriers and promoting peace.</w:t>
      </w:r>
    </w:p>
    <w:p w:rsidR="00B10A2C" w:rsidRDefault="00F047E7" w:rsidP="00510562">
      <w:pPr>
        <w:pStyle w:val="Heading2"/>
        <w:spacing w:line="480" w:lineRule="auto"/>
        <w:jc w:val="both"/>
      </w:pPr>
      <w:bookmarkStart w:id="5" w:name="X01866e2eae4c18426a8b2e28664887babb650eb"/>
      <w:r>
        <w:t>Intergroup Contact Interventions to Improve Intergroup Attitudes and Reduce Conflict</w:t>
      </w:r>
      <w:bookmarkEnd w:id="5"/>
    </w:p>
    <w:p w:rsidR="00B10A2C" w:rsidRDefault="00F047E7" w:rsidP="00510562">
      <w:pPr>
        <w:pStyle w:val="FirstParagraph"/>
        <w:spacing w:line="480" w:lineRule="auto"/>
        <w:jc w:val="both"/>
      </w:pPr>
      <w:r>
        <w:t>If poor relations between groups cause psychological ba</w:t>
      </w:r>
      <w:r>
        <w:t>rriers that prevent groups from bargaining successfully, then improving intergroup relations should remove those barriers and allow groups to reach peaceful agreements through bargaining. One prominent approach to improving relations between groups comes f</w:t>
      </w:r>
      <w:r>
        <w:t xml:space="preserve">rom intergroup contact theory (Allport 1954). Intergroup contact theory hypothesizes that intergroup relations can be improved through interactions in which group members (1) cooperate (2) with equal status (3) to achieve shared goals (4) with the support </w:t>
      </w:r>
      <w:r>
        <w:t>of elites. Improving relations – especially improving trust – can help groups overcome information and commitment problems and reduce the likelihood of violence.</w:t>
      </w:r>
      <w:r>
        <w:rPr>
          <w:rStyle w:val="FootnoteReference"/>
        </w:rPr>
        <w:footnoteReference w:id="7"/>
      </w:r>
    </w:p>
    <w:p w:rsidR="00B10A2C" w:rsidRDefault="00F047E7" w:rsidP="00510562">
      <w:pPr>
        <w:pStyle w:val="BodyText"/>
        <w:spacing w:line="480" w:lineRule="auto"/>
        <w:jc w:val="both"/>
      </w:pPr>
      <w:r>
        <w:lastRenderedPageBreak/>
        <w:t>Structured intergroup contact improves intergroup relations for several reasons.</w:t>
      </w:r>
      <w:r>
        <w:rPr>
          <w:rStyle w:val="FootnoteReference"/>
        </w:rPr>
        <w:footnoteReference w:id="8"/>
      </w:r>
      <w:r>
        <w:t xml:space="preserve"> First, inte</w:t>
      </w:r>
      <w:r>
        <w:t>rgroup contact provides an opportunity for groups to learn about each other and update opinions based on personal experience, thereby dispelling stereotypes (Allport 1954).  In the context of conflict resolution, the primary barrier to peace is the stereot</w:t>
      </w:r>
      <w:r>
        <w:t>ype that the other group is untrustworthy. Intergroup contact provides the opportunity to signal trustworthiness and preferences for cooperation to the other group (Kydd 2000; Rohner, Thoenig, and Zilibotti 2013) and has been linked with increased trust ev</w:t>
      </w:r>
      <w:r>
        <w:t>en in contexts of ongoing conflict (Hewstone et al. 2006).</w:t>
      </w:r>
    </w:p>
    <w:p w:rsidR="00B10A2C" w:rsidRDefault="00F047E7" w:rsidP="00510562">
      <w:pPr>
        <w:pStyle w:val="BodyText"/>
        <w:spacing w:line="480" w:lineRule="auto"/>
        <w:jc w:val="both"/>
      </w:pPr>
      <w:r>
        <w:t>Third, intergroup contact can show that working together is materially beneficial for both groups. Intergroup contact often entails reciprocal exchanges like trade, which can provide tangible evide</w:t>
      </w:r>
      <w:r>
        <w:t xml:space="preserve">nce that both groups are materially better off cooperating than fighting, increasing incentives to reach a bargain and avoid conflict (Rohner, Thoenig, and Zilibotti 2013). </w:t>
      </w:r>
    </w:p>
    <w:p w:rsidR="00B10A2C" w:rsidRDefault="00F047E7" w:rsidP="00510562">
      <w:pPr>
        <w:pStyle w:val="BodyText"/>
        <w:spacing w:line="480" w:lineRule="auto"/>
        <w:jc w:val="both"/>
      </w:pPr>
      <w:r>
        <w:t>Fourth, intergroup contact can reduce the perceived social distance between the gr</w:t>
      </w:r>
      <w:r>
        <w:t>oups and even expand the ingroup to include the former outgroup. Contact can make salient many similarities between the groups, reducing feelings of social distance and even helping to craft a joint identity that encompasses both groups (Gaertner and Dovid</w:t>
      </w:r>
      <w:r>
        <w:t>io 2014).</w:t>
      </w:r>
    </w:p>
    <w:p w:rsidR="00B10A2C" w:rsidRDefault="00F047E7" w:rsidP="00510562">
      <w:pPr>
        <w:pStyle w:val="BodyText"/>
        <w:spacing w:line="480" w:lineRule="auto"/>
        <w:jc w:val="both"/>
      </w:pPr>
      <w:r>
        <w:lastRenderedPageBreak/>
        <w:t>The effectiveness of intergroup contact has been demonstrated in a variety of contexts and using a variety of methodological approaches (Paluck, Green, and Green 2017; Pettigrew and Tropp 2006). Notably, intergroup contacted programs improved rel</w:t>
      </w:r>
      <w:r>
        <w:t>ations between white people and black people in the U.S. South Africa, and Norway (Burns, Corno, and La Ferrara 2015; Carrell, Hoekstra, and West 2015; Finseraas and Kotsadam 2017; Marmaros and Sacerdote 2006), Jews and Arabs (Ditlmann and Samii 2016; Yabl</w:t>
      </w:r>
      <w:r>
        <w:t xml:space="preserve">on 2012), and Hindus and Muslims in India (Barnhardt 2009). In Nigeria, a recent study found that intergroup contact between Muslims and Christians decreased discrimination relative to a group that experienced </w:t>
      </w:r>
      <w:r>
        <w:rPr>
          <w:i/>
        </w:rPr>
        <w:t>intragroup</w:t>
      </w:r>
      <w:r>
        <w:t xml:space="preserve"> contact, suggesting that intergroup</w:t>
      </w:r>
      <w:r>
        <w:t xml:space="preserve"> contact can work by countering the adverse effects of ingroup-only experiences (Scacco and Warren 2018). This leads to our main hypothesis:</w:t>
      </w:r>
    </w:p>
    <w:p w:rsidR="00B10A2C" w:rsidRDefault="00F047E7" w:rsidP="00510562">
      <w:pPr>
        <w:pStyle w:val="Compact"/>
        <w:numPr>
          <w:ilvl w:val="0"/>
          <w:numId w:val="3"/>
        </w:numPr>
        <w:spacing w:line="480" w:lineRule="auto"/>
        <w:jc w:val="both"/>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1</m:t>
            </m:r>
          </m:sub>
        </m:sSub>
        <m:r>
          <m:rPr>
            <m:sty m:val="b"/>
          </m:rPr>
          <w:rPr>
            <w:rFonts w:ascii="Cambria Math" w:hAnsi="Cambria Math"/>
          </w:rPr>
          <m:t>a</m:t>
        </m:r>
        <m:r>
          <w:rPr>
            <w:rFonts w:ascii="Cambria Math" w:hAnsi="Cambria Math"/>
          </w:rPr>
          <m:t>:</m:t>
        </m:r>
      </m:oMath>
      <w:r>
        <w:t xml:space="preserve"> </w:t>
      </w:r>
      <w:r>
        <w:rPr>
          <w:b/>
        </w:rPr>
        <w:t>Intergroup contact will help.</w:t>
      </w:r>
      <w:r>
        <w:t xml:space="preserve"> </w:t>
      </w:r>
    </w:p>
    <w:p w:rsidR="00B10A2C" w:rsidRDefault="00F047E7" w:rsidP="00510562">
      <w:pPr>
        <w:pStyle w:val="FirstParagraph"/>
        <w:spacing w:line="480" w:lineRule="auto"/>
        <w:jc w:val="both"/>
      </w:pPr>
      <w:r>
        <w:t>But intergroup contact might not change attitudes or reduce conflict. Group animosity often arises due to the competition for resources that both groups claim or desire (Sherif 1958). If competition for resources itself causes poor intergroup relations/neg</w:t>
      </w:r>
      <w:r>
        <w:t>ative intergroup attitudes, then competition for resources will cause conflict and intergroup contact will have no effect because it doesn’t change underlying resource competition. With or without structured intergroup contact, the groups are still engaged</w:t>
      </w:r>
      <w:r>
        <w:t xml:space="preserve"> in competition for resources, which breeds conflict (Campbell 1965; Sherif et al. 1988).</w:t>
      </w:r>
    </w:p>
    <w:p w:rsidR="00B10A2C" w:rsidRDefault="00F047E7" w:rsidP="00510562">
      <w:pPr>
        <w:pStyle w:val="BodyText"/>
        <w:spacing w:line="480" w:lineRule="auto"/>
        <w:jc w:val="both"/>
      </w:pPr>
      <w:r>
        <w:t>This concern is heightened for groups in active conflict. Their negative intergroup attitudes come from real conflict, not the type of prejudice that Allport and othe</w:t>
      </w:r>
      <w:r>
        <w:t xml:space="preserve">rs theorized about. Through contact, you might learn that the other group </w:t>
      </w:r>
      <w:r>
        <w:rPr>
          <w:i/>
        </w:rPr>
        <w:t>does</w:t>
      </w:r>
      <w:r>
        <w:t xml:space="preserve"> favor itself. Contact might show </w:t>
      </w:r>
      <w:r>
        <w:lastRenderedPageBreak/>
        <w:t xml:space="preserve">you that the other group </w:t>
      </w:r>
      <w:r>
        <w:rPr>
          <w:i/>
        </w:rPr>
        <w:t>will</w:t>
      </w:r>
      <w:r>
        <w:t xml:space="preserve"> defect on agreements. Learning about the other side is not going to improve relations if incentives are completely</w:t>
      </w:r>
      <w:r>
        <w:t xml:space="preserve"> misaligned and the other side </w:t>
      </w:r>
      <w:r>
        <w:rPr>
          <w:i/>
        </w:rPr>
        <w:t>does</w:t>
      </w:r>
      <w:r>
        <w:t xml:space="preserve"> want to harm you. Additionally, in contexts of ongoing conflict, there may be few norms against prejudice, and possibly group norms that support this particular intergroup prejudice. If intergroup contact works by activa</w:t>
      </w:r>
      <w:r>
        <w:t xml:space="preserve">ting “norms against prejudice”, contact is unlikely to have an effect for groups in conflict. </w:t>
      </w:r>
    </w:p>
    <w:p w:rsidR="00B10A2C" w:rsidRDefault="00F047E7" w:rsidP="00510562">
      <w:pPr>
        <w:pStyle w:val="BodyText"/>
        <w:spacing w:line="480" w:lineRule="auto"/>
        <w:jc w:val="both"/>
      </w:pPr>
      <w:r>
        <w:t>This leads to our alternative hypothesis:</w:t>
      </w:r>
    </w:p>
    <w:p w:rsidR="00B10A2C" w:rsidRDefault="00F047E7" w:rsidP="00510562">
      <w:pPr>
        <w:pStyle w:val="Compact"/>
        <w:numPr>
          <w:ilvl w:val="0"/>
          <w:numId w:val="4"/>
        </w:numPr>
        <w:spacing w:line="480" w:lineRule="auto"/>
        <w:jc w:val="both"/>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1</m:t>
            </m:r>
          </m:sub>
        </m:sSub>
        <m:r>
          <m:rPr>
            <m:sty m:val="b"/>
          </m:rPr>
          <w:rPr>
            <w:rFonts w:ascii="Cambria Math" w:hAnsi="Cambria Math"/>
          </w:rPr>
          <m:t>b</m:t>
        </m:r>
        <m:r>
          <w:rPr>
            <w:rFonts w:ascii="Cambria Math" w:hAnsi="Cambria Math"/>
          </w:rPr>
          <m:t>:</m:t>
        </m:r>
      </m:oMath>
      <w:r>
        <w:t xml:space="preserve"> </w:t>
      </w:r>
      <w:r>
        <w:rPr>
          <w:b/>
        </w:rPr>
        <w:t>Intergroup contact will not help.</w:t>
      </w:r>
    </w:p>
    <w:p w:rsidR="00B10A2C" w:rsidRDefault="00F047E7" w:rsidP="00510562">
      <w:pPr>
        <w:pStyle w:val="FirstParagraph"/>
        <w:spacing w:line="480" w:lineRule="auto"/>
        <w:jc w:val="both"/>
      </w:pPr>
      <w:r>
        <w:t>The effect may also be conditional on group status. Intergroup contact may on</w:t>
      </w:r>
      <w:r>
        <w:t>ly reduce prejudice from high-status group to low-status group. Ditlmann and Samii (2016) contact-based intervention did not affect the disadvantaged, minority group.</w:t>
      </w:r>
    </w:p>
    <w:p w:rsidR="00B10A2C" w:rsidRDefault="00F047E7" w:rsidP="00510562">
      <w:pPr>
        <w:pStyle w:val="Compact"/>
        <w:numPr>
          <w:ilvl w:val="0"/>
          <w:numId w:val="5"/>
        </w:numPr>
        <w:spacing w:line="480" w:lineRule="auto"/>
        <w:jc w:val="both"/>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1</m:t>
            </m:r>
          </m:sub>
        </m:sSub>
        <m:r>
          <m:rPr>
            <m:sty m:val="b"/>
          </m:rPr>
          <w:rPr>
            <w:rFonts w:ascii="Cambria Math" w:hAnsi="Cambria Math"/>
          </w:rPr>
          <m:t>b</m:t>
        </m:r>
        <m:r>
          <w:rPr>
            <w:rFonts w:ascii="Cambria Math" w:hAnsi="Cambria Math"/>
          </w:rPr>
          <m:t>:</m:t>
        </m:r>
      </m:oMath>
      <w:r>
        <w:t xml:space="preserve"> </w:t>
      </w:r>
      <w:r>
        <w:rPr>
          <w:b/>
        </w:rPr>
        <w:t>Intergroup contact will improve attitudes of farmers towards pastoralists but not</w:t>
      </w:r>
      <w:r>
        <w:rPr>
          <w:b/>
        </w:rPr>
        <w:t xml:space="preserve"> pastoralists towards farmers.</w:t>
      </w:r>
    </w:p>
    <w:p w:rsidR="00B10A2C" w:rsidRDefault="00F047E7" w:rsidP="00510562">
      <w:pPr>
        <w:pStyle w:val="Heading1"/>
        <w:spacing w:line="480" w:lineRule="auto"/>
        <w:jc w:val="both"/>
      </w:pPr>
      <w:bookmarkStart w:id="6" w:name="context"/>
      <w:r>
        <w:t>Context</w:t>
      </w:r>
      <w:bookmarkEnd w:id="6"/>
    </w:p>
    <w:p w:rsidR="00B10A2C" w:rsidRDefault="00F047E7" w:rsidP="00510562">
      <w:pPr>
        <w:pStyle w:val="FirstParagraph"/>
        <w:spacing w:line="480" w:lineRule="auto"/>
        <w:jc w:val="both"/>
      </w:pPr>
      <w:r>
        <w:t>Farmer-pastoralist conflict in Nigeria’s Middle Belt provides a context to learn about intergroup conflict. Nigeria’s Middle Belt divides the country between north and south, and houses a blend of various ethnic group</w:t>
      </w:r>
      <w:r>
        <w:t>s, with no clear majority. The south comprises primarily Christian farmers from various ethnic groups, while Muslims from the Hausa and Fulani ethnic groups — including the mostly Fulani pastoralists — dominate the north of the country. These religious, et</w:t>
      </w:r>
      <w:r>
        <w:t xml:space="preserve">hnic, and occupational identities intersect and create deep </w:t>
      </w:r>
      <w:r>
        <w:lastRenderedPageBreak/>
        <w:t>fault lines between communities. Historically, these communities interacted through trade and shared access to land. However, in recent years, interconnected factors have made these interactions m</w:t>
      </w:r>
      <w:r>
        <w:t xml:space="preserve">ore contentious. The Middle Belt has been stressed by climate change, population booms, migration, and government policies perceived to favor some groups over others. These stressors have sparked violent conflict between farmers and pastoralists in recent </w:t>
      </w:r>
      <w:r>
        <w:t>years.</w:t>
      </w:r>
    </w:p>
    <w:p w:rsidR="00B10A2C" w:rsidRDefault="00F047E7" w:rsidP="00510562">
      <w:pPr>
        <w:pStyle w:val="BodyText"/>
        <w:spacing w:line="480" w:lineRule="auto"/>
        <w:jc w:val="both"/>
      </w:pPr>
      <w:r>
        <w:t>Climate change contributes to the conflict in two ways. First, changing climate has reduced available water sources and land conducive to farming or grazing. As the Sahara expands southward (Thomas and Nigam 2018) and water sources dry (Okpara et al</w:t>
      </w:r>
      <w:r>
        <w:t>. 2015), farmers and pastoralists have to share fewer resources. Second, changing climate pushes more pastoralists southward into the Middle Belt.</w:t>
      </w:r>
      <w:r>
        <w:rPr>
          <w:rStyle w:val="FootnoteReference"/>
        </w:rPr>
        <w:footnoteReference w:id="9"/>
      </w:r>
      <w:r>
        <w:t xml:space="preserve"> Their southward migration of pastoralists who formerly resided in northern Nigeria causes even more demand f</w:t>
      </w:r>
      <w:r>
        <w:t>or land and water as those resources are becoming scarce.</w:t>
      </w:r>
    </w:p>
    <w:p w:rsidR="00B10A2C" w:rsidRDefault="00F047E7" w:rsidP="00510562">
      <w:pPr>
        <w:pStyle w:val="BodyText"/>
        <w:spacing w:line="480" w:lineRule="auto"/>
        <w:jc w:val="both"/>
      </w:pPr>
      <w:r>
        <w:t>Land scarcity is exacerbated by Nigeria’s population boom. Nigeria’s population increased from 73 million people in 1980 to an estimated 200 million people in 2019. The rapidly growing population me</w:t>
      </w:r>
      <w:r>
        <w:t>ans increased demand for farming and grazing land, simultaneous with the decreasing supply of farming and grazing land. The dual pressures of increasing demand and decreasing supply have fueled farmer-pastoralist conflict in recent years (Unah 2018). Shari</w:t>
      </w:r>
      <w:r>
        <w:t>ng land is easier when people are scarce and land is plentiful; it is not so easy when land is scarce and people are plentiful.</w:t>
      </w:r>
    </w:p>
    <w:p w:rsidR="00B10A2C" w:rsidRDefault="00F047E7" w:rsidP="00510562">
      <w:pPr>
        <w:pStyle w:val="BodyText"/>
        <w:spacing w:line="480" w:lineRule="auto"/>
        <w:jc w:val="both"/>
      </w:pPr>
      <w:r>
        <w:lastRenderedPageBreak/>
        <w:t xml:space="preserve">Land scarcity and new migrants jeopardize traditional agreements that have managed farmer-pastoralist interactions for decades. </w:t>
      </w:r>
      <w:r>
        <w:t>Farmers and pastoralists residing in Nigeria’s Middle Belt developed agreements about seasonal land sharing, exchanges for crop residue and animal manure, compensation for damage to crops by livestock, and other arrangements that helped them share resource</w:t>
      </w:r>
      <w:r>
        <w:t>s and avoid conflict. As land scarcity increased, these traditional agreements were increasingly broken (Cotula et al. 2004; Kuusaana and Bukari 2015). These agreements were also less likely to be implemented by the pastoralists migrating into the Middle B</w:t>
      </w:r>
      <w:r>
        <w:t>elt, who were unaware of these agreements and not involved in forging them. Their use of land beyond these traditional agreements has further ignited tensions.</w:t>
      </w:r>
    </w:p>
    <w:p w:rsidR="00B10A2C" w:rsidRDefault="00F047E7" w:rsidP="00510562">
      <w:pPr>
        <w:pStyle w:val="BodyText"/>
        <w:spacing w:line="480" w:lineRule="auto"/>
        <w:jc w:val="both"/>
      </w:pPr>
      <w:r>
        <w:t>Grievances related to access land and water points are compounded by government policies perceiv</w:t>
      </w:r>
      <w:r>
        <w:t>ed to favor farmers. Land privatization enacted in recent decades encouraged farmers to plant crops that occupy land continuously, like orchards, and effectively nullified farmer-pastoralist land sharing agreements (Bassett 2009). Official cattle routes an</w:t>
      </w:r>
      <w:r>
        <w:t>d reserves for moving herds are rarely enforced by the government, leading farmers to plant crops in once-protected areas, which further limits pastoralists’ available grazing space. The “indigene versus settler” policy limits land ownership and other righ</w:t>
      </w:r>
      <w:r>
        <w:t>ts, including political representation, to certain ethnic groups in each state (Network 2014). Certain communities – often pastoralists, who are seen as “settlers” – are denied the right to run for public office, limiting the incorporation of their views i</w:t>
      </w:r>
      <w:r>
        <w:t>nto local policies.</w:t>
      </w:r>
    </w:p>
    <w:p w:rsidR="00B10A2C" w:rsidRDefault="00F047E7" w:rsidP="00510562">
      <w:pPr>
        <w:pStyle w:val="BodyText"/>
        <w:spacing w:line="480" w:lineRule="auto"/>
        <w:jc w:val="both"/>
      </w:pPr>
      <w:r>
        <w:t xml:space="preserve">Compounding matters, the government of Benue State enacted an anti–open grazing law in November 2017, sparking more violence because many pastoralists reasonably viewed the </w:t>
      </w:r>
      <w:r>
        <w:lastRenderedPageBreak/>
        <w:t>law as biased against their way of life. Benue mobilized state-</w:t>
      </w:r>
      <w:r>
        <w:t>sanctioned vigilante groups called “livestock guard” to enforce the law, but the livestock guard have sometimes sought out pastoralists, rather than guard farmland.[chris: Duru (2018) benue police arresting livestock guard and benue courts releasing the gu</w:t>
      </w:r>
      <w:r>
        <w:t>ard; cite other news articles about livestock guard]</w:t>
      </w:r>
    </w:p>
    <w:p w:rsidR="00B10A2C" w:rsidRDefault="00F047E7" w:rsidP="00510562">
      <w:pPr>
        <w:pStyle w:val="BodyText"/>
        <w:spacing w:line="480" w:lineRule="auto"/>
        <w:jc w:val="both"/>
      </w:pPr>
      <w:r>
        <w:t xml:space="preserve">These factors – climate change, increasing population, migration, and government policy – have broken the agreements that previously governed interactions between farmers and pastoralists. These factors </w:t>
      </w:r>
      <w:r>
        <w:t>have challenged the interdependence among the groups and the benefits and costs of reaching agreements. As farmers in Nigeria began to raise their own livestock (Hoffmann and Mohammed 2004), the need for manure from pastoralists decreases. As governments a</w:t>
      </w:r>
      <w:r>
        <w:t>llocate private property to settled people, pastoralists increasingly destroy crops when using ancestral grazing routes. And as demand for agriculture products rise, prices for crop destruction must increase to account for lost revenue. These changes could</w:t>
      </w:r>
      <w:r>
        <w:t xml:space="preserve"> seem like “defecting” on previous agreements, suggesting to each side that the other is untrustworthy. Perceived untrustworthy behavior begets a cycle of distrust, culminating in the violent farmer-pastoralist conflict of recent years.</w:t>
      </w:r>
    </w:p>
    <w:p w:rsidR="00B10A2C" w:rsidRDefault="00F047E7" w:rsidP="00510562">
      <w:pPr>
        <w:pStyle w:val="BodyText"/>
        <w:spacing w:line="480" w:lineRule="auto"/>
        <w:jc w:val="both"/>
      </w:pPr>
      <w:r>
        <w:t>This persistent vio</w:t>
      </w:r>
      <w:r>
        <w:t>lence continues to have debilitating effects on Nigerians and the economy. First, it has taken many lives. In 2013 alone, Plateau, Kaduna, Nasarawa, and Benue states registered more than 100 incidents of violent conflict, accounting for more than 1,050 dea</w:t>
      </w:r>
      <w:r>
        <w:t xml:space="preserve">ths (Mercy Corps 2018). The more recent violence left 300,000 displaced (Akinwotu 2018) and more than 1,476 dead in 2018 (Harwood 2019). The Middle Belt is considered Nigeria’s “food basket” and is central to key value chains throughout the </w:t>
      </w:r>
      <w:r>
        <w:lastRenderedPageBreak/>
        <w:t>country, includ</w:t>
      </w:r>
      <w:r>
        <w:t>ing beef, dairy, and cash crops such as cassava. This violence has impeded food production and threatens to create a food shortage (Hailemariam 2018). Before the latest surge in violence, the conflict was costing the Nigerian economy $13.7 billion a year (</w:t>
      </w:r>
      <w:r>
        <w:t>McDougal et al. 2015). As one reporter noted, “The countryside is littered with the charred ruins of homes, schools, police stations, mosques and churches.” (McDonnel 2017).</w:t>
      </w:r>
    </w:p>
    <w:p w:rsidR="00B10A2C" w:rsidRDefault="00F047E7" w:rsidP="00510562">
      <w:pPr>
        <w:pStyle w:val="BodyText"/>
        <w:spacing w:line="480" w:lineRule="auto"/>
        <w:jc w:val="both"/>
      </w:pPr>
      <w:r>
        <w:t xml:space="preserve">Farmer-pastoralist conflict in the Middle Belt is not dissimilar from current and </w:t>
      </w:r>
      <w:r>
        <w:t xml:space="preserve">past conflicts in other parts of the world. Throughout Sahel – farmer-pastoralist clashes are a persistent problem throughout the Sahel and savanna areas of Africa, including Mali, the Ivory Coast (Bassett 1988, 2009), Niger (Thebaud and Batterbury 2001), </w:t>
      </w:r>
      <w:r>
        <w:t>and Ghana (Tonah 2002). Farmer-pastoralist clashes are destabilizing to these countries politically, socially, and economically. In South Sudan, Myanmar, Bosnia. “Range wars” between farmers and ranchers in 19th and early 20th century American West. Can le</w:t>
      </w:r>
      <w:r>
        <w:t>arn about intergroup conflict generally from farmer-pastoralist conflict in Nigeria’s Middle Belt. These conflicts are primarily rural and the state does not project power to these areas. It is often viewed as biased for or against one group.</w:t>
      </w:r>
    </w:p>
    <w:p w:rsidR="00B10A2C" w:rsidRDefault="00F047E7" w:rsidP="00510562">
      <w:pPr>
        <w:pStyle w:val="Heading2"/>
        <w:spacing w:line="480" w:lineRule="auto"/>
        <w:jc w:val="both"/>
      </w:pPr>
      <w:bookmarkStart w:id="7" w:name="intervention"/>
      <w:r>
        <w:t>Intervention</w:t>
      </w:r>
      <w:bookmarkEnd w:id="7"/>
    </w:p>
    <w:p w:rsidR="00B10A2C" w:rsidRDefault="00F047E7" w:rsidP="00510562">
      <w:pPr>
        <w:pStyle w:val="FirstParagraph"/>
        <w:spacing w:line="480" w:lineRule="auto"/>
        <w:jc w:val="both"/>
      </w:pPr>
      <w:r>
        <w:t>The intervention formed mixed-group committees with equal numbers of farmers and pastoralists and provided them with funds to build infrastructure that would benefit both communities; committees then collaboratively chose and constructed infrastructure pro</w:t>
      </w:r>
      <w:r>
        <w:t>jects. It started with a series of community meetings, beginning with separate farmer and pastoralist meetings that built up to joint decision-making meetings with the two groups together. Each joint project committee included an even number of farmers and</w:t>
      </w:r>
      <w:r>
        <w:t xml:space="preserve"> </w:t>
      </w:r>
      <w:r>
        <w:lastRenderedPageBreak/>
        <w:t>pastoralists, as well as women and youth representatives, and totaled between 12 and 15 members. Each committee received two grants, one for quick-impact projects, of approximately $2,000, and one for joint projects, of approximately $25,000.</w:t>
      </w:r>
    </w:p>
    <w:p w:rsidR="00B10A2C" w:rsidRDefault="00F047E7" w:rsidP="00510562">
      <w:pPr>
        <w:pStyle w:val="BodyText"/>
        <w:spacing w:line="480" w:lineRule="auto"/>
        <w:jc w:val="both"/>
      </w:pPr>
      <w:r>
        <w:t>The quick-im</w:t>
      </w:r>
      <w:r>
        <w:t>pact projects were conceived as a trust-building initiative, intended to let community members see that cooperation was possible. Projects, managed by both farmers and pastoralists, included hand pumps, construction or rehabilitation of market stalls and s</w:t>
      </w:r>
      <w:r>
        <w:t>chools, rehabilitation of health centers, and construction of fences along grazing routes to protect farmlands. The joint economic development projects aimed to address an underlying issue related to the conflict: sharing of resources that impact livelihoo</w:t>
      </w:r>
      <w:r>
        <w:t>ds. Pollution of water, affecting both farming and livestock, was the primary issue people raised. As a result, each site received a new borehole well, with farmer and pastoralist youth helping to construct the wells.</w:t>
      </w:r>
    </w:p>
    <w:p w:rsidR="00B10A2C" w:rsidRDefault="00F047E7" w:rsidP="00510562">
      <w:pPr>
        <w:pStyle w:val="BodyText"/>
        <w:spacing w:line="480" w:lineRule="auto"/>
        <w:jc w:val="both"/>
      </w:pPr>
      <w:r>
        <w:t>The program also provided mediation tr</w:t>
      </w:r>
      <w:r>
        <w:t>aining to each community’s leaders and held forums where the groups discussed the underlying drivers of conflict.</w:t>
      </w:r>
    </w:p>
    <w:p w:rsidR="00B10A2C" w:rsidRDefault="00F047E7" w:rsidP="00510562">
      <w:pPr>
        <w:pStyle w:val="BodyText"/>
        <w:spacing w:line="480" w:lineRule="auto"/>
        <w:jc w:val="both"/>
      </w:pPr>
      <w:r>
        <w:t xml:space="preserve">These projects were designed with the conditions of Contact Theory in mind. Groups (1) cooperated with (2) equal status to achieve (3) shared </w:t>
      </w:r>
      <w:r>
        <w:t>goals with (4) support of local authorities. These projects were meant to help the groups solve some underlying resource problems that drove conflict. Collectively, these project give groups the opportunity so send costly signals about their willingness to</w:t>
      </w:r>
      <w:r>
        <w:t xml:space="preserve"> cooperate (Kydd 2000; Rohner, Thoenig, and Zilibotti 2013).</w:t>
      </w:r>
    </w:p>
    <w:p w:rsidR="00B10A2C" w:rsidRDefault="00F047E7" w:rsidP="00510562">
      <w:pPr>
        <w:pStyle w:val="Heading1"/>
        <w:jc w:val="both"/>
      </w:pPr>
      <w:bookmarkStart w:id="8" w:name="references"/>
      <w:r>
        <w:lastRenderedPageBreak/>
        <w:t>References</w:t>
      </w:r>
      <w:bookmarkEnd w:id="8"/>
    </w:p>
    <w:p w:rsidR="00B10A2C" w:rsidRDefault="00F047E7" w:rsidP="00510562">
      <w:pPr>
        <w:pStyle w:val="Bibliography"/>
        <w:jc w:val="both"/>
      </w:pPr>
      <w:bookmarkStart w:id="9" w:name="ref-abrams1990social"/>
      <w:bookmarkStart w:id="10" w:name="refs"/>
      <w:r>
        <w:t xml:space="preserve">Abrams, Dominic, and Michael A Hogg. 1990. “Social Identification, Self-Categorization and Social Influence.” </w:t>
      </w:r>
      <w:r>
        <w:rPr>
          <w:i/>
        </w:rPr>
        <w:t>European review of social psychology</w:t>
      </w:r>
      <w:r>
        <w:t xml:space="preserve"> 1(1): 195–228.</w:t>
      </w:r>
    </w:p>
    <w:p w:rsidR="00B10A2C" w:rsidRDefault="00F047E7" w:rsidP="00510562">
      <w:pPr>
        <w:pStyle w:val="Bibliography"/>
        <w:jc w:val="both"/>
      </w:pPr>
      <w:bookmarkStart w:id="11" w:name="ref-abrams1990knowing"/>
      <w:bookmarkEnd w:id="9"/>
      <w:r>
        <w:t>Abrams, Dominic et al.</w:t>
      </w:r>
      <w:r>
        <w:t xml:space="preserve"> 1990. “Knowing What to Think by Knowing Who You Are: Self-Categorization and the Nature of Norm Formation, Conformity and Group Polarization.” </w:t>
      </w:r>
      <w:r>
        <w:rPr>
          <w:i/>
        </w:rPr>
        <w:t>British Journal of Social Psychology</w:t>
      </w:r>
      <w:r>
        <w:t xml:space="preserve"> 29(2): 97–119.</w:t>
      </w:r>
    </w:p>
    <w:p w:rsidR="00B10A2C" w:rsidRDefault="00F047E7" w:rsidP="00510562">
      <w:pPr>
        <w:pStyle w:val="Bibliography"/>
        <w:jc w:val="both"/>
      </w:pPr>
      <w:bookmarkStart w:id="12" w:name="ref-nyt2018nigeria"/>
      <w:bookmarkEnd w:id="11"/>
      <w:r>
        <w:t>Akinwotu, Emmanuel. 2018. “Nigeria’s Farmers and Herders Fig</w:t>
      </w:r>
      <w:r>
        <w:t xml:space="preserve">ht a Deadly Battle for Scarce Resources.” </w:t>
      </w:r>
      <w:r>
        <w:rPr>
          <w:i/>
        </w:rPr>
        <w:t>New York Times</w:t>
      </w:r>
      <w:r>
        <w:t xml:space="preserve">. </w:t>
      </w:r>
      <w:hyperlink r:id="rId7">
        <w:r>
          <w:rPr>
            <w:rStyle w:val="Hyperlink"/>
          </w:rPr>
          <w:t>https://www.nytimes.com/2018/06/25/world/africa/nigeria-herders-farmers.html</w:t>
        </w:r>
      </w:hyperlink>
      <w:r>
        <w:t>.</w:t>
      </w:r>
    </w:p>
    <w:p w:rsidR="00B10A2C" w:rsidRDefault="00F047E7" w:rsidP="00510562">
      <w:pPr>
        <w:pStyle w:val="Bibliography"/>
        <w:jc w:val="both"/>
      </w:pPr>
      <w:bookmarkStart w:id="13" w:name="ref-allport1954prejudice"/>
      <w:bookmarkEnd w:id="12"/>
      <w:r>
        <w:t>Allport, Gordon. 1954. “</w:t>
      </w:r>
      <w:r>
        <w:t xml:space="preserve">The Nature of Prejudice.” </w:t>
      </w:r>
      <w:r>
        <w:rPr>
          <w:i/>
        </w:rPr>
        <w:t>Garden City, NJ Anchor</w:t>
      </w:r>
      <w:r>
        <w:t>.</w:t>
      </w:r>
    </w:p>
    <w:p w:rsidR="00B10A2C" w:rsidRDefault="00F047E7" w:rsidP="00510562">
      <w:pPr>
        <w:pStyle w:val="Bibliography"/>
        <w:jc w:val="both"/>
      </w:pPr>
      <w:bookmarkStart w:id="14" w:name="ref-autesserre2017international"/>
      <w:bookmarkEnd w:id="13"/>
      <w:r>
        <w:t xml:space="preserve">Autesserre, Severine. 2017. “International Peacebuilding and Local Success: Assumptions and Effectiveness.” </w:t>
      </w:r>
      <w:r>
        <w:rPr>
          <w:i/>
        </w:rPr>
        <w:t>International Studies Review</w:t>
      </w:r>
      <w:r>
        <w:t xml:space="preserve"> 19(1): 114–32.</w:t>
      </w:r>
    </w:p>
    <w:p w:rsidR="00B10A2C" w:rsidRDefault="00F047E7" w:rsidP="00510562">
      <w:pPr>
        <w:pStyle w:val="Bibliography"/>
        <w:jc w:val="both"/>
      </w:pPr>
      <w:bookmarkStart w:id="15" w:name="ref-axelrod1981evolution"/>
      <w:bookmarkEnd w:id="14"/>
      <w:r>
        <w:t xml:space="preserve">Axelrod, Robert, and William D Hamilton. 1981. “The Evolution of Cooperation.” </w:t>
      </w:r>
      <w:r>
        <w:rPr>
          <w:i/>
        </w:rPr>
        <w:t>science</w:t>
      </w:r>
      <w:r>
        <w:t xml:space="preserve"> 211(4489): 1390–6.</w:t>
      </w:r>
    </w:p>
    <w:p w:rsidR="00B10A2C" w:rsidRDefault="00F047E7" w:rsidP="00510562">
      <w:pPr>
        <w:pStyle w:val="Bibliography"/>
        <w:jc w:val="both"/>
      </w:pPr>
      <w:bookmarkStart w:id="16" w:name="ref-barnhardt2009near"/>
      <w:bookmarkEnd w:id="15"/>
      <w:r>
        <w:t xml:space="preserve">Barnhardt, Sharon. 2009. “Near and Dear? Evaluating the Impact of Neighbor Diversity on Inter-Religious Attitudes.” </w:t>
      </w:r>
      <w:r>
        <w:rPr>
          <w:i/>
        </w:rPr>
        <w:t>Unpublished working paper</w:t>
      </w:r>
      <w:r>
        <w:t>.</w:t>
      </w:r>
    </w:p>
    <w:p w:rsidR="00B10A2C" w:rsidRDefault="00F047E7" w:rsidP="00510562">
      <w:pPr>
        <w:pStyle w:val="Bibliography"/>
        <w:jc w:val="both"/>
      </w:pPr>
      <w:bookmarkStart w:id="17" w:name="ref-bassett2009mobile"/>
      <w:bookmarkEnd w:id="16"/>
      <w:r>
        <w:t>Bassett</w:t>
      </w:r>
      <w:r>
        <w:t xml:space="preserve">, Thomas J. 2009. “Mobile Pastoralism on the Brink of Land Privatization in Northern côte d’Ivoire.” </w:t>
      </w:r>
      <w:r>
        <w:rPr>
          <w:i/>
        </w:rPr>
        <w:t>Geoforum</w:t>
      </w:r>
      <w:r>
        <w:t xml:space="preserve"> 40(5): 756–66.</w:t>
      </w:r>
    </w:p>
    <w:p w:rsidR="00B10A2C" w:rsidRDefault="00F047E7" w:rsidP="00510562">
      <w:pPr>
        <w:pStyle w:val="Bibliography"/>
        <w:jc w:val="both"/>
      </w:pPr>
      <w:bookmarkStart w:id="18" w:name="ref-beardsley2008agreement"/>
      <w:bookmarkEnd w:id="17"/>
      <w:r>
        <w:t xml:space="preserve">Beardsley, Kyle. 2008. “Agreement Without Peace? International Mediation and Time Inconsistency Problems.” </w:t>
      </w:r>
      <w:r>
        <w:rPr>
          <w:i/>
        </w:rPr>
        <w:t>American journal of poli</w:t>
      </w:r>
      <w:r>
        <w:rPr>
          <w:i/>
        </w:rPr>
        <w:t>tical science</w:t>
      </w:r>
      <w:r>
        <w:t xml:space="preserve"> 52(4): 723–40.</w:t>
      </w:r>
    </w:p>
    <w:p w:rsidR="00B10A2C" w:rsidRDefault="00F047E7" w:rsidP="00510562">
      <w:pPr>
        <w:pStyle w:val="Bibliography"/>
        <w:jc w:val="both"/>
      </w:pPr>
      <w:bookmarkStart w:id="19" w:name="ref-beber2012international"/>
      <w:bookmarkEnd w:id="18"/>
      <w:r>
        <w:t xml:space="preserve">Beber, Bernd. 2012. “International Mediation, Selection Effects, and the Question of Bias.” </w:t>
      </w:r>
      <w:r>
        <w:rPr>
          <w:i/>
        </w:rPr>
        <w:t>Conflict Management and Peace Science</w:t>
      </w:r>
      <w:r>
        <w:t xml:space="preserve"> 29(4): 397–424.</w:t>
      </w:r>
    </w:p>
    <w:p w:rsidR="00B10A2C" w:rsidRDefault="00F047E7" w:rsidP="00510562">
      <w:pPr>
        <w:pStyle w:val="Bibliography"/>
        <w:jc w:val="both"/>
      </w:pPr>
      <w:bookmarkStart w:id="20" w:name="ref-bendor2001evolution"/>
      <w:bookmarkEnd w:id="19"/>
      <w:r>
        <w:t xml:space="preserve">Bendor, Jonathan, and Piotr Swistak. 2001. “The Evolution of Norms.” </w:t>
      </w:r>
      <w:r>
        <w:rPr>
          <w:i/>
        </w:rPr>
        <w:t>American Jou</w:t>
      </w:r>
      <w:r>
        <w:rPr>
          <w:i/>
        </w:rPr>
        <w:t>rnal of Sociology</w:t>
      </w:r>
      <w:r>
        <w:t xml:space="preserve"> 106(6): 1493–1545.</w:t>
      </w:r>
    </w:p>
    <w:p w:rsidR="00B10A2C" w:rsidRDefault="00F047E7" w:rsidP="00510562">
      <w:pPr>
        <w:pStyle w:val="Bibliography"/>
        <w:jc w:val="both"/>
      </w:pPr>
      <w:bookmarkStart w:id="21" w:name="ref-bohnet1999social"/>
      <w:bookmarkEnd w:id="20"/>
      <w:r>
        <w:t xml:space="preserve">Bohnet, Iris, and Bruno S Frey. 1999. “Social Distance and Other-Regarding Behavior in Dictator Games: Comment.” </w:t>
      </w:r>
      <w:r>
        <w:rPr>
          <w:i/>
        </w:rPr>
        <w:t>American Economic Review</w:t>
      </w:r>
      <w:r>
        <w:t xml:space="preserve"> 89(1): 335–39.</w:t>
      </w:r>
    </w:p>
    <w:p w:rsidR="00B10A2C" w:rsidRDefault="00F047E7" w:rsidP="00510562">
      <w:pPr>
        <w:pStyle w:val="Bibliography"/>
        <w:jc w:val="both"/>
      </w:pPr>
      <w:bookmarkStart w:id="22" w:name="ref-brewer1999ingroupOutgroup"/>
      <w:bookmarkEnd w:id="21"/>
      <w:r>
        <w:t>Brewer, Marilynn B. 1999. “The Psychology of Prejudice: Ingroup Lo</w:t>
      </w:r>
      <w:r>
        <w:t xml:space="preserve">ve and Outgroup Hate?” </w:t>
      </w:r>
      <w:r>
        <w:rPr>
          <w:i/>
        </w:rPr>
        <w:t>Journal of social issues</w:t>
      </w:r>
      <w:r>
        <w:t xml:space="preserve"> 55(3): 429–44.</w:t>
      </w:r>
    </w:p>
    <w:p w:rsidR="00B10A2C" w:rsidRDefault="00F047E7" w:rsidP="00510562">
      <w:pPr>
        <w:pStyle w:val="Bibliography"/>
        <w:jc w:val="both"/>
      </w:pPr>
      <w:bookmarkStart w:id="23" w:name="ref-broockman2016durably"/>
      <w:bookmarkEnd w:id="22"/>
      <w:r>
        <w:t xml:space="preserve">Broockman, David, and Joshua Kalla. 2016. “Durably Reducing Transphobia: A Field Experiment on Door-to-Door Canvassing.” </w:t>
      </w:r>
      <w:r>
        <w:rPr>
          <w:i/>
        </w:rPr>
        <w:t>Science</w:t>
      </w:r>
      <w:r>
        <w:t xml:space="preserve"> 352(6282): 220–24.</w:t>
      </w:r>
    </w:p>
    <w:p w:rsidR="00B10A2C" w:rsidRDefault="00F047E7" w:rsidP="00510562">
      <w:pPr>
        <w:pStyle w:val="Bibliography"/>
        <w:jc w:val="both"/>
      </w:pPr>
      <w:bookmarkStart w:id="24" w:name="ref-burns2015interaction"/>
      <w:bookmarkEnd w:id="23"/>
      <w:r>
        <w:t>Burns, Justine, Lucia Corno, and Eliana La Fe</w:t>
      </w:r>
      <w:r>
        <w:t xml:space="preserve">rrara. 2015. </w:t>
      </w:r>
      <w:r>
        <w:rPr>
          <w:i/>
        </w:rPr>
        <w:t>Interaction, Prejudice and Performance. Evidence from South Africa</w:t>
      </w:r>
      <w:r>
        <w:t>. Working paper.</w:t>
      </w:r>
    </w:p>
    <w:p w:rsidR="00B10A2C" w:rsidRDefault="00F047E7" w:rsidP="00510562">
      <w:pPr>
        <w:pStyle w:val="Bibliography"/>
        <w:jc w:val="both"/>
      </w:pPr>
      <w:bookmarkStart w:id="25" w:name="ref-campbell1965ethno"/>
      <w:bookmarkEnd w:id="24"/>
      <w:r>
        <w:t xml:space="preserve">Campbell, Donald T. 1965. “Ethnocentric and Other Altruistic Motives.” In </w:t>
      </w:r>
      <w:r>
        <w:rPr>
          <w:i/>
        </w:rPr>
        <w:t>Nebraska Symposium on Motivation</w:t>
      </w:r>
      <w:r>
        <w:t>, 283–311.</w:t>
      </w:r>
    </w:p>
    <w:p w:rsidR="00B10A2C" w:rsidRDefault="00F047E7" w:rsidP="00510562">
      <w:pPr>
        <w:pStyle w:val="Bibliography"/>
        <w:jc w:val="both"/>
      </w:pPr>
      <w:bookmarkStart w:id="26" w:name="ref-carrell2015impact"/>
      <w:bookmarkEnd w:id="25"/>
      <w:r>
        <w:lastRenderedPageBreak/>
        <w:t xml:space="preserve">Carrell, Scott E, Mark Hoekstra, and James </w:t>
      </w:r>
      <w:r>
        <w:t xml:space="preserve">E West. 2015. </w:t>
      </w:r>
      <w:r>
        <w:rPr>
          <w:i/>
        </w:rPr>
        <w:t>The Impact of Intergroup Contact on Racial Attitudes and Revealed Preferences</w:t>
      </w:r>
      <w:r>
        <w:t>. National Bureau of Economic Research.</w:t>
      </w:r>
    </w:p>
    <w:p w:rsidR="00B10A2C" w:rsidRDefault="00F047E7" w:rsidP="00510562">
      <w:pPr>
        <w:pStyle w:val="Bibliography"/>
        <w:jc w:val="both"/>
      </w:pPr>
      <w:bookmarkStart w:id="27" w:name="ref-cikara2014their"/>
      <w:bookmarkEnd w:id="26"/>
      <w:r>
        <w:t xml:space="preserve">Cikara, Mina, Emile Bruneau, Jay J Van Bavel, and Rebecca Saxe. 2014. “Their Pain Gives Us Pleasure: How Intergroup Dynamics </w:t>
      </w:r>
      <w:r>
        <w:t xml:space="preserve">Shape Empathic Failures and Counter-Empathic Responses.” </w:t>
      </w:r>
      <w:r>
        <w:rPr>
          <w:i/>
        </w:rPr>
        <w:t>Journal of experimental social psychology</w:t>
      </w:r>
      <w:r>
        <w:t xml:space="preserve"> 55: 110–25.</w:t>
      </w:r>
    </w:p>
    <w:p w:rsidR="00B10A2C" w:rsidRDefault="00F047E7" w:rsidP="00510562">
      <w:pPr>
        <w:pStyle w:val="Bibliography"/>
        <w:jc w:val="both"/>
      </w:pPr>
      <w:bookmarkStart w:id="28" w:name="ref-cotula2004land"/>
      <w:bookmarkEnd w:id="27"/>
      <w:r>
        <w:t xml:space="preserve">Cotula, Lorenzo, Camilla Toulmin, Ced Hesse, and others. 2004. </w:t>
      </w:r>
      <w:r>
        <w:rPr>
          <w:i/>
        </w:rPr>
        <w:t>Land Tenure and Administration in Africa: Lessons of Experience and Emerging Issue</w:t>
      </w:r>
      <w:r>
        <w:rPr>
          <w:i/>
        </w:rPr>
        <w:t>s</w:t>
      </w:r>
      <w:r>
        <w:t>. International Institute for Environment; Development London.</w:t>
      </w:r>
    </w:p>
    <w:p w:rsidR="00B10A2C" w:rsidRDefault="00F047E7" w:rsidP="00510562">
      <w:pPr>
        <w:pStyle w:val="Bibliography"/>
        <w:jc w:val="both"/>
      </w:pPr>
      <w:bookmarkStart w:id="29" w:name="ref-crisp2009imagined"/>
      <w:bookmarkEnd w:id="28"/>
      <w:r>
        <w:t xml:space="preserve">Crisp, Richard J, and Rhiannon N Turner. 2009. “Can Imagined Interactions Produce Positive Perceptions?: Reducing Prejudice Through Simulated Social Contact.” </w:t>
      </w:r>
      <w:r>
        <w:rPr>
          <w:i/>
        </w:rPr>
        <w:t>American Psychologist</w:t>
      </w:r>
      <w:r>
        <w:t xml:space="preserve"> 64(4): 231.</w:t>
      </w:r>
    </w:p>
    <w:p w:rsidR="00B10A2C" w:rsidRDefault="00F047E7" w:rsidP="00510562">
      <w:pPr>
        <w:pStyle w:val="Bibliography"/>
        <w:jc w:val="both"/>
      </w:pPr>
      <w:bookmarkStart w:id="30" w:name="ref-daniel2018anti"/>
      <w:bookmarkEnd w:id="29"/>
      <w:r>
        <w:t xml:space="preserve">Daniel, Soni. 2018. “Anti-Open Grazing Law: Nass, Benue, Kwara, Taraba Tackle Defence Minister.” </w:t>
      </w:r>
      <w:r>
        <w:rPr>
          <w:i/>
        </w:rPr>
        <w:t>Vanguard</w:t>
      </w:r>
      <w:r>
        <w:t xml:space="preserve">. </w:t>
      </w:r>
      <w:hyperlink r:id="rId8">
        <w:r>
          <w:rPr>
            <w:rStyle w:val="Hyperlink"/>
          </w:rPr>
          <w:t>https://www.vanguardng</w:t>
        </w:r>
        <w:r>
          <w:rPr>
            <w:rStyle w:val="Hyperlink"/>
          </w:rPr>
          <w:t>r.com/2018/06/anti-open-grazing-law-nass-benue-kwara-taraba-tackle-defence-minister/</w:t>
        </w:r>
      </w:hyperlink>
      <w:r>
        <w:t>.</w:t>
      </w:r>
    </w:p>
    <w:p w:rsidR="00B10A2C" w:rsidRDefault="00F047E7" w:rsidP="00510562">
      <w:pPr>
        <w:pStyle w:val="Bibliography"/>
        <w:jc w:val="both"/>
      </w:pPr>
      <w:bookmarkStart w:id="31" w:name="ref-de2008motivated"/>
      <w:bookmarkEnd w:id="30"/>
      <w:r>
        <w:t xml:space="preserve">De Dreu, Carsten KW, Bernard A Nijstad, and Daan van Knippenberg. 2008. “Motivated Information Processing in Group Judgment and Decision Making.” </w:t>
      </w:r>
      <w:r>
        <w:rPr>
          <w:i/>
        </w:rPr>
        <w:t>Personality and Social P</w:t>
      </w:r>
      <w:r>
        <w:rPr>
          <w:i/>
        </w:rPr>
        <w:t>sychology Review</w:t>
      </w:r>
      <w:r>
        <w:t xml:space="preserve"> 12(1): 22–49.</w:t>
      </w:r>
    </w:p>
    <w:p w:rsidR="00B10A2C" w:rsidRDefault="00F047E7" w:rsidP="00510562">
      <w:pPr>
        <w:pStyle w:val="Bibliography"/>
        <w:jc w:val="both"/>
      </w:pPr>
      <w:bookmarkStart w:id="32" w:name="ref-di2017effectiveness"/>
      <w:bookmarkEnd w:id="31"/>
      <w:r>
        <w:t xml:space="preserve">Di Salvatore, Jessica, and Andrea Ruggeri. 2017. “Effectiveness of Peacekeeping Operations.” </w:t>
      </w:r>
      <w:r>
        <w:rPr>
          <w:i/>
        </w:rPr>
        <w:t>Oxford Research Encyclopedia of Politics</w:t>
      </w:r>
      <w:r>
        <w:t>.</w:t>
      </w:r>
    </w:p>
    <w:p w:rsidR="00B10A2C" w:rsidRDefault="00F047E7" w:rsidP="00510562">
      <w:pPr>
        <w:pStyle w:val="Bibliography"/>
        <w:jc w:val="both"/>
      </w:pPr>
      <w:bookmarkStart w:id="33" w:name="ref-ditlmann2016can"/>
      <w:bookmarkEnd w:id="32"/>
      <w:r>
        <w:t xml:space="preserve">Ditlmann, Ruth K, and Cyrus Samii. 2016. “Can Intergroup Contact Affect Ingroup Dynamics? Insights from a Field Study with Jewish and Arab-Palestinian Youth in Israel.” </w:t>
      </w:r>
      <w:r>
        <w:rPr>
          <w:i/>
        </w:rPr>
        <w:t>Peace and Conflict: Journal of Peace Psychology</w:t>
      </w:r>
      <w:r>
        <w:t xml:space="preserve"> 22(4): 380.</w:t>
      </w:r>
    </w:p>
    <w:p w:rsidR="00B10A2C" w:rsidRDefault="00F047E7" w:rsidP="00510562">
      <w:pPr>
        <w:pStyle w:val="Bibliography"/>
        <w:jc w:val="both"/>
      </w:pPr>
      <w:bookmarkStart w:id="34" w:name="ref-ditlmann2017addressing"/>
      <w:bookmarkEnd w:id="33"/>
      <w:r>
        <w:t>Ditlmann, Ruth K, Cyrus Sam</w:t>
      </w:r>
      <w:r>
        <w:t xml:space="preserve">ii, and Thomas Zeitzoff. 2017. “Addressing Violent Intergroup Conflict from the Bottom up?” </w:t>
      </w:r>
      <w:r>
        <w:rPr>
          <w:i/>
        </w:rPr>
        <w:t>Social Issues and Policy Review</w:t>
      </w:r>
      <w:r>
        <w:t xml:space="preserve"> 11(1): 38–77.</w:t>
      </w:r>
    </w:p>
    <w:p w:rsidR="00B10A2C" w:rsidRDefault="00F047E7" w:rsidP="00510562">
      <w:pPr>
        <w:pStyle w:val="Bibliography"/>
        <w:jc w:val="both"/>
      </w:pPr>
      <w:bookmarkStart w:id="35" w:name="ref-dreu2010social"/>
      <w:bookmarkEnd w:id="34"/>
      <w:r>
        <w:t>Dreu, Carsten KW de. 2010. “Social Value Orientation Moderates Ingroup Love but Not Outgroup Hate in Competitive Inter</w:t>
      </w:r>
      <w:r>
        <w:t xml:space="preserve">group Conflict.” </w:t>
      </w:r>
      <w:r>
        <w:rPr>
          <w:i/>
        </w:rPr>
        <w:t>Group Processes &amp; Intergroup Relations</w:t>
      </w:r>
      <w:r>
        <w:t xml:space="preserve"> 13(6): 701–13.</w:t>
      </w:r>
    </w:p>
    <w:p w:rsidR="00B10A2C" w:rsidRDefault="00F047E7" w:rsidP="00510562">
      <w:pPr>
        <w:pStyle w:val="Bibliography"/>
        <w:jc w:val="both"/>
      </w:pPr>
      <w:bookmarkStart w:id="36" w:name="ref-duncan1976differential"/>
      <w:bookmarkEnd w:id="35"/>
      <w:r>
        <w:t xml:space="preserve">Duncan, Birt L. 1976. “Differential Social Perception and Attribution of Intergroup Violence: Testing the Lower Limits of Stereotyping of Blacks.” </w:t>
      </w:r>
      <w:r>
        <w:rPr>
          <w:i/>
        </w:rPr>
        <w:t>Journal of personality and social psyc</w:t>
      </w:r>
      <w:r>
        <w:rPr>
          <w:i/>
        </w:rPr>
        <w:t>hology</w:t>
      </w:r>
      <w:r>
        <w:t xml:space="preserve"> 34(4): 590.</w:t>
      </w:r>
    </w:p>
    <w:p w:rsidR="00B10A2C" w:rsidRDefault="00F047E7" w:rsidP="00510562">
      <w:pPr>
        <w:pStyle w:val="Bibliography"/>
        <w:jc w:val="both"/>
      </w:pPr>
      <w:bookmarkStart w:id="37" w:name="ref-duru2018court"/>
      <w:bookmarkEnd w:id="36"/>
      <w:r>
        <w:t xml:space="preserve">Duru, Peter. 2018. “Court Stops Inspector General from Proscribing Benue Livestock Guard.” </w:t>
      </w:r>
      <w:r>
        <w:rPr>
          <w:i/>
        </w:rPr>
        <w:t>Vanguard</w:t>
      </w:r>
      <w:r>
        <w:t xml:space="preserve">. </w:t>
      </w:r>
      <w:hyperlink r:id="rId9">
        <w:r>
          <w:rPr>
            <w:rStyle w:val="Hyperlink"/>
          </w:rPr>
          <w:t>https://www.vanguardngr.com/2018/11/court-stops-ig-from-proscribing-benue-livestock-guards/</w:t>
        </w:r>
      </w:hyperlink>
      <w:r>
        <w:t>.</w:t>
      </w:r>
    </w:p>
    <w:p w:rsidR="00B10A2C" w:rsidRDefault="00F047E7" w:rsidP="00510562">
      <w:pPr>
        <w:pStyle w:val="Bibliography"/>
        <w:jc w:val="both"/>
      </w:pPr>
      <w:bookmarkStart w:id="38" w:name="ref-economist2019militias"/>
      <w:bookmarkEnd w:id="37"/>
      <w:r>
        <w:t>Economist, The. 2019. “Malicious Malitias: States in t</w:t>
      </w:r>
      <w:r>
        <w:t xml:space="preserve">he Sahel Have Unleashed Ethnic Gangs with Guns.” </w:t>
      </w:r>
      <w:r>
        <w:rPr>
          <w:i/>
        </w:rPr>
        <w:t>The Economist</w:t>
      </w:r>
      <w:r>
        <w:t xml:space="preserve">. </w:t>
      </w:r>
      <w:hyperlink r:id="rId10">
        <w:r>
          <w:rPr>
            <w:rStyle w:val="Hyperlink"/>
          </w:rPr>
          <w:t>https://www.economist.com/middle-east-and-africa/2019/0</w:t>
        </w:r>
        <w:r>
          <w:rPr>
            <w:rStyle w:val="Hyperlink"/>
          </w:rPr>
          <w:t>5/04/states-in-the-sahel-have-unleashed-ethnic-gangs-with-guns</w:t>
        </w:r>
      </w:hyperlink>
      <w:r>
        <w:t>.</w:t>
      </w:r>
    </w:p>
    <w:p w:rsidR="00B10A2C" w:rsidRDefault="00F047E7" w:rsidP="00510562">
      <w:pPr>
        <w:pStyle w:val="Bibliography"/>
        <w:jc w:val="both"/>
      </w:pPr>
      <w:bookmarkStart w:id="39" w:name="ref-eidelson2003dangerous"/>
      <w:bookmarkEnd w:id="38"/>
      <w:r>
        <w:lastRenderedPageBreak/>
        <w:t xml:space="preserve">Eidelson, Roy J, and Judy I Eidelson. 2003. “Dangerous Ideas: Five Beliefs That Propel Groups Toward Conflict.” </w:t>
      </w:r>
      <w:r>
        <w:rPr>
          <w:i/>
        </w:rPr>
        <w:t>American Psychologist</w:t>
      </w:r>
      <w:r>
        <w:t xml:space="preserve"> 58(3): 182.</w:t>
      </w:r>
    </w:p>
    <w:p w:rsidR="00B10A2C" w:rsidRDefault="00F047E7" w:rsidP="00510562">
      <w:pPr>
        <w:pStyle w:val="Bibliography"/>
        <w:jc w:val="both"/>
      </w:pPr>
      <w:bookmarkStart w:id="40" w:name="ref-fulanisize2017"/>
      <w:bookmarkEnd w:id="39"/>
      <w:r>
        <w:t>Encyclopedia, New World. 2017. “Fulani — New W</w:t>
      </w:r>
      <w:r>
        <w:t xml:space="preserve">orld Encyclopedia,” </w:t>
      </w:r>
      <w:hyperlink r:id="rId11">
        <w:r>
          <w:rPr>
            <w:rStyle w:val="Hyperlink"/>
          </w:rPr>
          <w:t>//www.newworldencyclopedia.org/p/index.php?title=Fulani&amp;oldid=1004777</w:t>
        </w:r>
      </w:hyperlink>
      <w:r>
        <w:t>.</w:t>
      </w:r>
    </w:p>
    <w:p w:rsidR="00B10A2C" w:rsidRDefault="00F047E7" w:rsidP="00510562">
      <w:pPr>
        <w:pStyle w:val="Bibliography"/>
        <w:jc w:val="both"/>
      </w:pPr>
      <w:bookmarkStart w:id="41" w:name="ref-enos2014causal"/>
      <w:bookmarkEnd w:id="40"/>
      <w:r>
        <w:t>Enos, Ryan D. 2014. “Causal Effect of Intergroup Contact on Exclusionary Att</w:t>
      </w:r>
      <w:r>
        <w:t xml:space="preserve">itudes.” </w:t>
      </w:r>
      <w:r>
        <w:rPr>
          <w:i/>
        </w:rPr>
        <w:t>Proceedings of the National Academy of Sciences</w:t>
      </w:r>
      <w:r>
        <w:t xml:space="preserve"> 111(10): 3699–3704.</w:t>
      </w:r>
    </w:p>
    <w:p w:rsidR="00B10A2C" w:rsidRDefault="00F047E7" w:rsidP="00510562">
      <w:pPr>
        <w:pStyle w:val="Bibliography"/>
        <w:jc w:val="both"/>
      </w:pPr>
      <w:bookmarkStart w:id="42" w:name="ref-fearon1994domestic"/>
      <w:bookmarkEnd w:id="41"/>
      <w:r>
        <w:t xml:space="preserve">Fearon, James D. 1994a. “Domestic Political Audiences and the Escalation of International Disputes.” </w:t>
      </w:r>
      <w:r>
        <w:rPr>
          <w:i/>
        </w:rPr>
        <w:t>American political science review</w:t>
      </w:r>
      <w:r>
        <w:t xml:space="preserve"> 88(3): 577–92.</w:t>
      </w:r>
    </w:p>
    <w:p w:rsidR="00B10A2C" w:rsidRDefault="00F047E7" w:rsidP="00510562">
      <w:pPr>
        <w:pStyle w:val="Bibliography"/>
        <w:jc w:val="both"/>
      </w:pPr>
      <w:bookmarkStart w:id="43" w:name="ref-fearon1994ethnic"/>
      <w:bookmarkEnd w:id="42"/>
      <w:r>
        <w:t xml:space="preserve">———. 1994b. “Ethnic War as a </w:t>
      </w:r>
      <w:r>
        <w:t xml:space="preserve">Commitment Problem.” In </w:t>
      </w:r>
      <w:r>
        <w:rPr>
          <w:i/>
        </w:rPr>
        <w:t>Annual Meetings of the American Political Science Association</w:t>
      </w:r>
      <w:r>
        <w:t>, 2–5.</w:t>
      </w:r>
    </w:p>
    <w:p w:rsidR="00B10A2C" w:rsidRDefault="00F047E7" w:rsidP="00510562">
      <w:pPr>
        <w:pStyle w:val="Bibliography"/>
        <w:jc w:val="both"/>
      </w:pPr>
      <w:bookmarkStart w:id="44" w:name="ref-fearon1995rationalist"/>
      <w:bookmarkEnd w:id="43"/>
      <w:r>
        <w:t xml:space="preserve">———. 1995. “Rationalist Explanations for War.” </w:t>
      </w:r>
      <w:r>
        <w:rPr>
          <w:i/>
        </w:rPr>
        <w:t>International organization</w:t>
      </w:r>
      <w:r>
        <w:t xml:space="preserve"> 49(3): 379–414.</w:t>
      </w:r>
    </w:p>
    <w:p w:rsidR="00B10A2C" w:rsidRDefault="00F047E7" w:rsidP="00510562">
      <w:pPr>
        <w:pStyle w:val="Bibliography"/>
        <w:jc w:val="both"/>
      </w:pPr>
      <w:bookmarkStart w:id="45" w:name="ref-fearon1996explaining"/>
      <w:bookmarkEnd w:id="44"/>
      <w:r>
        <w:t>Fearon, James D, and David D Laitin. 1996. “Explaining Interethnic Coopera</w:t>
      </w:r>
      <w:r>
        <w:t xml:space="preserve">tion.” </w:t>
      </w:r>
      <w:r>
        <w:rPr>
          <w:i/>
        </w:rPr>
        <w:t>American political science review</w:t>
      </w:r>
      <w:r>
        <w:t xml:space="preserve"> 90(4): 715–35.</w:t>
      </w:r>
    </w:p>
    <w:p w:rsidR="00B10A2C" w:rsidRDefault="00F047E7" w:rsidP="00510562">
      <w:pPr>
        <w:pStyle w:val="Bibliography"/>
        <w:jc w:val="both"/>
      </w:pPr>
      <w:bookmarkStart w:id="46" w:name="ref-fein1997prejudice"/>
      <w:bookmarkEnd w:id="45"/>
      <w:r>
        <w:t xml:space="preserve">Fein, Steven, and Steven J Spencer. 1997. “Prejudice as Self-Image Maintenance: Affirming the Self Through Derogating Others.” </w:t>
      </w:r>
      <w:r>
        <w:rPr>
          <w:i/>
        </w:rPr>
        <w:t>Journal of personality and Social Psychology</w:t>
      </w:r>
      <w:r>
        <w:t xml:space="preserve"> 73(1): 31.</w:t>
      </w:r>
    </w:p>
    <w:p w:rsidR="00B10A2C" w:rsidRDefault="00F047E7" w:rsidP="00510562">
      <w:pPr>
        <w:pStyle w:val="Bibliography"/>
        <w:jc w:val="both"/>
      </w:pPr>
      <w:bookmarkStart w:id="47" w:name="ref-fey2010shuttle"/>
      <w:bookmarkEnd w:id="46"/>
      <w:r>
        <w:t>Fey, Mark, and Kr</w:t>
      </w:r>
      <w:r>
        <w:t xml:space="preserve">istopher W Ramsay. 2010. “When Is Shuttle Diplomacy Worth the Commute? Information Sharing Through Mediation.” </w:t>
      </w:r>
      <w:r>
        <w:rPr>
          <w:i/>
        </w:rPr>
        <w:t>World Politics</w:t>
      </w:r>
      <w:r>
        <w:t xml:space="preserve"> 62(4): 529–60.</w:t>
      </w:r>
    </w:p>
    <w:p w:rsidR="00B10A2C" w:rsidRDefault="00F047E7" w:rsidP="00510562">
      <w:pPr>
        <w:pStyle w:val="Bibliography"/>
        <w:jc w:val="both"/>
      </w:pPr>
      <w:bookmarkStart w:id="48" w:name="ref-finseraas2017does"/>
      <w:bookmarkEnd w:id="47"/>
      <w:r>
        <w:t>Finseraas, Henning, and Andreas Kotsadam. 2017. “Does Personal Contact with Ethnic Minorities Affect Anti-Immigrant</w:t>
      </w:r>
      <w:r>
        <w:t xml:space="preserve"> Sentiments? Evidence from a Field Experiment.” </w:t>
      </w:r>
      <w:r>
        <w:rPr>
          <w:i/>
        </w:rPr>
        <w:t>European Journal of Political Research</w:t>
      </w:r>
      <w:r>
        <w:t xml:space="preserve"> 56(3): 703–22.</w:t>
      </w:r>
    </w:p>
    <w:p w:rsidR="00B10A2C" w:rsidRDefault="00F047E7" w:rsidP="00510562">
      <w:pPr>
        <w:pStyle w:val="Bibliography"/>
        <w:jc w:val="both"/>
      </w:pPr>
      <w:bookmarkStart w:id="49" w:name="ref-forbes1997ethnic"/>
      <w:bookmarkEnd w:id="48"/>
      <w:r>
        <w:t xml:space="preserve">Forbes, Hugh Donald. 1997. </w:t>
      </w:r>
      <w:r>
        <w:rPr>
          <w:i/>
        </w:rPr>
        <w:t>Ethnic Conflict: Commerce, Culture, and the Contact Hypothesis</w:t>
      </w:r>
      <w:r>
        <w:t>. Yale University Press.</w:t>
      </w:r>
    </w:p>
    <w:p w:rsidR="00B10A2C" w:rsidRDefault="00F047E7" w:rsidP="00510562">
      <w:pPr>
        <w:pStyle w:val="Bibliography"/>
        <w:jc w:val="both"/>
      </w:pPr>
      <w:bookmarkStart w:id="50" w:name="ref-gaertner2014reducing"/>
      <w:bookmarkEnd w:id="49"/>
      <w:r>
        <w:t xml:space="preserve">Gaertner, Samuel L, and John F Dovidio. </w:t>
      </w:r>
      <w:r>
        <w:t xml:space="preserve">2014. </w:t>
      </w:r>
      <w:r>
        <w:rPr>
          <w:i/>
        </w:rPr>
        <w:t>Reducing Intergroup Bias: The Common Ingroup Identity Model</w:t>
      </w:r>
      <w:r>
        <w:t>. Psychology Press.</w:t>
      </w:r>
    </w:p>
    <w:p w:rsidR="00B10A2C" w:rsidRDefault="00F047E7" w:rsidP="00510562">
      <w:pPr>
        <w:pStyle w:val="Bibliography"/>
        <w:jc w:val="both"/>
      </w:pPr>
      <w:bookmarkStart w:id="51" w:name="ref-gaertner2000reducing"/>
      <w:bookmarkEnd w:id="50"/>
      <w:r>
        <w:t xml:space="preserve">Gaertner, Samuel L et al. 2000. “Reducing Intergroup Conflict: From Superordinate Goals to Decategorization, Recategorization, and Mutual Differentiation.” </w:t>
      </w:r>
      <w:r>
        <w:rPr>
          <w:i/>
        </w:rPr>
        <w:t>Group Dynamics:</w:t>
      </w:r>
      <w:r>
        <w:rPr>
          <w:i/>
        </w:rPr>
        <w:t xml:space="preserve"> Theory, Research, and Practice</w:t>
      </w:r>
      <w:r>
        <w:t xml:space="preserve"> 4(1): 98.</w:t>
      </w:r>
    </w:p>
    <w:p w:rsidR="00B10A2C" w:rsidRDefault="00F047E7" w:rsidP="00510562">
      <w:pPr>
        <w:pStyle w:val="Bibliography"/>
        <w:jc w:val="both"/>
      </w:pPr>
      <w:bookmarkStart w:id="52" w:name="ref-gubler2013humanizing"/>
      <w:bookmarkEnd w:id="51"/>
      <w:r>
        <w:t xml:space="preserve">Gubler, Joshua R. 2013. “When Humanizing the Enemy Fails: The Role of Dissonance and Justification in Intergroup Conflict.” In </w:t>
      </w:r>
      <w:r>
        <w:rPr>
          <w:i/>
        </w:rPr>
        <w:t>Annual Meeting of the American Political Science Association</w:t>
      </w:r>
      <w:r>
        <w:t>,</w:t>
      </w:r>
    </w:p>
    <w:p w:rsidR="00B10A2C" w:rsidRDefault="00F047E7" w:rsidP="00510562">
      <w:pPr>
        <w:pStyle w:val="Bibliography"/>
        <w:jc w:val="both"/>
      </w:pPr>
      <w:bookmarkStart w:id="53" w:name="ref-frontera2018nigeria"/>
      <w:bookmarkEnd w:id="52"/>
      <w:r>
        <w:t>Hailemariam, Adium. 2018.</w:t>
      </w:r>
      <w:r>
        <w:t xml:space="preserve"> “Nigeria: Violence in the Middle Belt Becomes Major Concern for President Buhari.” </w:t>
      </w:r>
      <w:r>
        <w:rPr>
          <w:i/>
        </w:rPr>
        <w:t>Frontera</w:t>
      </w:r>
      <w:r>
        <w:t xml:space="preserve">. </w:t>
      </w:r>
      <w:hyperlink r:id="rId12">
        <w:r>
          <w:rPr>
            <w:rStyle w:val="Hyperlink"/>
          </w:rPr>
          <w:t>https://frontera.net/news/afri</w:t>
        </w:r>
        <w:r>
          <w:rPr>
            <w:rStyle w:val="Hyperlink"/>
          </w:rPr>
          <w:t>ca/nigeria-violence-in-the-middle-belt-becomes-major-concern-for-president-buhari/</w:t>
        </w:r>
      </w:hyperlink>
      <w:r>
        <w:t>.</w:t>
      </w:r>
    </w:p>
    <w:p w:rsidR="00B10A2C" w:rsidRDefault="00F047E7" w:rsidP="00510562">
      <w:pPr>
        <w:pStyle w:val="Bibliography"/>
        <w:jc w:val="both"/>
      </w:pPr>
      <w:bookmarkStart w:id="54" w:name="ref-council2019nigeria"/>
      <w:bookmarkEnd w:id="53"/>
      <w:r>
        <w:lastRenderedPageBreak/>
        <w:t xml:space="preserve">Harwood, Asch. 2019. “Update: The Numbers Behind Sectarian Violence in Nigeria.” </w:t>
      </w:r>
      <w:r>
        <w:rPr>
          <w:i/>
        </w:rPr>
        <w:t>Council on Foreign Relations</w:t>
      </w:r>
      <w:r>
        <w:t xml:space="preserve">. </w:t>
      </w:r>
      <w:hyperlink r:id="rId13">
        <w:r>
          <w:rPr>
            <w:rStyle w:val="Hyperlink"/>
          </w:rPr>
          <w:t>https://www.cfr.org/blog/update-numbers-behind-sectarian-violence-nigeria</w:t>
        </w:r>
      </w:hyperlink>
      <w:r>
        <w:t>.</w:t>
      </w:r>
    </w:p>
    <w:p w:rsidR="00B10A2C" w:rsidRDefault="00F047E7" w:rsidP="00510562">
      <w:pPr>
        <w:pStyle w:val="Bibliography"/>
        <w:jc w:val="both"/>
      </w:pPr>
      <w:bookmarkStart w:id="55" w:name="ref-hewstone1990ultimate"/>
      <w:bookmarkEnd w:id="54"/>
      <w:r>
        <w:t xml:space="preserve">Hewstone, Miles. 1990. “The ‘Ultimate Attribution Error’? A Review of the Literature on Intergroup Causal Attribution.” </w:t>
      </w:r>
      <w:r>
        <w:rPr>
          <w:i/>
        </w:rPr>
        <w:t>European Journal of Social Ps</w:t>
      </w:r>
      <w:r>
        <w:rPr>
          <w:i/>
        </w:rPr>
        <w:t>ychology</w:t>
      </w:r>
      <w:r>
        <w:t xml:space="preserve"> 20(4): 311–35.</w:t>
      </w:r>
    </w:p>
    <w:p w:rsidR="00B10A2C" w:rsidRDefault="00F047E7" w:rsidP="00510562">
      <w:pPr>
        <w:pStyle w:val="Bibliography"/>
        <w:jc w:val="both"/>
      </w:pPr>
      <w:bookmarkStart w:id="56" w:name="ref-hewstone2006intergroup"/>
      <w:bookmarkEnd w:id="55"/>
      <w:r>
        <w:t xml:space="preserve">Hewstone, Miles et al. 2006. “Intergroup Contact, Forgiveness, and Experience of ‘the Troubles’ in Northern Ireland.” </w:t>
      </w:r>
      <w:r>
        <w:rPr>
          <w:i/>
        </w:rPr>
        <w:t>Journal of Social Issues</w:t>
      </w:r>
      <w:r>
        <w:t xml:space="preserve"> 62(1): 99–120.</w:t>
      </w:r>
    </w:p>
    <w:p w:rsidR="00B10A2C" w:rsidRDefault="00F047E7" w:rsidP="00510562">
      <w:pPr>
        <w:pStyle w:val="Bibliography"/>
        <w:jc w:val="both"/>
      </w:pPr>
      <w:bookmarkStart w:id="57" w:name="ref-hoffmann2004role"/>
      <w:bookmarkEnd w:id="56"/>
      <w:r>
        <w:t>Hoffmann, Irene, and Isiaka Mohammed. 2004. “THE Role of Nomadic Camels for Manuring Farmers’FIELD</w:t>
      </w:r>
      <w:r>
        <w:t xml:space="preserve">S in the Sokoto Close Settled Zone, Northwest Nigeria.” </w:t>
      </w:r>
      <w:r>
        <w:rPr>
          <w:i/>
        </w:rPr>
        <w:t>Nomadic Peoples</w:t>
      </w:r>
      <w:r>
        <w:t xml:space="preserve"> 8(1): 99–112.</w:t>
      </w:r>
    </w:p>
    <w:p w:rsidR="00B10A2C" w:rsidRDefault="00F047E7" w:rsidP="00510562">
      <w:pPr>
        <w:pStyle w:val="Bibliography"/>
        <w:jc w:val="both"/>
      </w:pPr>
      <w:bookmarkStart w:id="58" w:name="ref-hogg2006social"/>
      <w:bookmarkEnd w:id="57"/>
      <w:r>
        <w:t xml:space="preserve">Hogg, Michael A, and Scott A Reid. 2006. “Social Identity, Self-Categorization, and the Communication of Group Norms.” </w:t>
      </w:r>
      <w:r>
        <w:rPr>
          <w:i/>
        </w:rPr>
        <w:t>Communication theory</w:t>
      </w:r>
      <w:r>
        <w:t xml:space="preserve"> 16(1): 7–30.</w:t>
      </w:r>
    </w:p>
    <w:p w:rsidR="00B10A2C" w:rsidRDefault="00F047E7" w:rsidP="00510562">
      <w:pPr>
        <w:pStyle w:val="Bibliography"/>
        <w:jc w:val="both"/>
      </w:pPr>
      <w:bookmarkStart w:id="59" w:name="ref-kazdin1974covertModeling"/>
      <w:bookmarkEnd w:id="58"/>
      <w:r>
        <w:t>Kazdin, Alan E. 1</w:t>
      </w:r>
      <w:r>
        <w:t xml:space="preserve">974. “Covert Modeling, Model Similarity, and Reduction of Avoidance Behavior.” </w:t>
      </w:r>
      <w:r>
        <w:rPr>
          <w:i/>
        </w:rPr>
        <w:t>Behavior Therapy</w:t>
      </w:r>
      <w:r>
        <w:t xml:space="preserve"> 5(3): 325–40.</w:t>
      </w:r>
    </w:p>
    <w:p w:rsidR="00B10A2C" w:rsidRDefault="00F047E7" w:rsidP="00510562">
      <w:pPr>
        <w:pStyle w:val="Bibliography"/>
        <w:jc w:val="both"/>
      </w:pPr>
      <w:bookmarkStart w:id="60" w:name="ref-kunda1990motivatedReasoning"/>
      <w:bookmarkEnd w:id="59"/>
      <w:r>
        <w:t xml:space="preserve">Kunda, Ziva. 1990. “The Case for Motivated Reasoning.” </w:t>
      </w:r>
      <w:r>
        <w:rPr>
          <w:i/>
        </w:rPr>
        <w:t>Psychological bulletin</w:t>
      </w:r>
      <w:r>
        <w:t xml:space="preserve"> 108(3): 480.</w:t>
      </w:r>
    </w:p>
    <w:p w:rsidR="00B10A2C" w:rsidRDefault="00F047E7" w:rsidP="00510562">
      <w:pPr>
        <w:pStyle w:val="Bibliography"/>
        <w:jc w:val="both"/>
      </w:pPr>
      <w:bookmarkStart w:id="61" w:name="ref-kuusaana2015land"/>
      <w:bookmarkEnd w:id="60"/>
      <w:r>
        <w:t xml:space="preserve">Kuusaana, Elias Danyi, and Kaderi Noagah Bukari. 2015. </w:t>
      </w:r>
      <w:r>
        <w:t xml:space="preserve">“Land Conflicts Between Smallholders and Fulani Pastoralists in Ghana: Evidence from the Asante Akim North District (Aand).” </w:t>
      </w:r>
      <w:r>
        <w:rPr>
          <w:i/>
        </w:rPr>
        <w:t>Journal of rural studies</w:t>
      </w:r>
      <w:r>
        <w:t xml:space="preserve"> 42: 52–62.</w:t>
      </w:r>
    </w:p>
    <w:p w:rsidR="00B10A2C" w:rsidRDefault="00F047E7" w:rsidP="00510562">
      <w:pPr>
        <w:pStyle w:val="Bibliography"/>
        <w:jc w:val="both"/>
      </w:pPr>
      <w:bookmarkStart w:id="62" w:name="ref-kydd2000trust"/>
      <w:bookmarkEnd w:id="61"/>
      <w:r>
        <w:t xml:space="preserve">Kydd, Andrew. 2000. “Trust, Reassurance, and Cooperation.” </w:t>
      </w:r>
      <w:r>
        <w:rPr>
          <w:i/>
        </w:rPr>
        <w:t>International Organization</w:t>
      </w:r>
      <w:r>
        <w:t xml:space="preserve"> 54(2): 325–57.</w:t>
      </w:r>
    </w:p>
    <w:p w:rsidR="00B10A2C" w:rsidRDefault="00F047E7" w:rsidP="00510562">
      <w:pPr>
        <w:pStyle w:val="Bibliography"/>
        <w:jc w:val="both"/>
      </w:pPr>
      <w:bookmarkStart w:id="63" w:name="ref-kydd2006can"/>
      <w:bookmarkEnd w:id="62"/>
      <w:r>
        <w:t xml:space="preserve">Kydd, Andrew H. 2006. “When Can Mediators Build Trust?” </w:t>
      </w:r>
      <w:r>
        <w:rPr>
          <w:i/>
        </w:rPr>
        <w:t>American Political Science Review</w:t>
      </w:r>
      <w:r>
        <w:t xml:space="preserve"> 100(3): 449–62.</w:t>
      </w:r>
    </w:p>
    <w:p w:rsidR="00B10A2C" w:rsidRDefault="00F047E7" w:rsidP="00510562">
      <w:pPr>
        <w:pStyle w:val="Bibliography"/>
        <w:jc w:val="both"/>
      </w:pPr>
      <w:bookmarkStart w:id="64" w:name="ref-lee2001mere"/>
      <w:bookmarkEnd w:id="63"/>
      <w:r>
        <w:t>Lee, Angela Y. 2001. “The Mere Exposure Effect: A</w:t>
      </w:r>
      <w:r>
        <w:t xml:space="preserve">n Uncertainty Reduction Explanation Revisited.” </w:t>
      </w:r>
      <w:r>
        <w:rPr>
          <w:i/>
        </w:rPr>
        <w:t>Personality and Social Psychology Bulletin</w:t>
      </w:r>
      <w:r>
        <w:t xml:space="preserve"> 27(10): 1255–66.</w:t>
      </w:r>
    </w:p>
    <w:p w:rsidR="00B10A2C" w:rsidRDefault="00F047E7" w:rsidP="00510562">
      <w:pPr>
        <w:pStyle w:val="Bibliography"/>
        <w:jc w:val="both"/>
      </w:pPr>
      <w:bookmarkStart w:id="65" w:name="ref-levine1972ethnocentrism"/>
      <w:bookmarkEnd w:id="64"/>
      <w:r>
        <w:t>LeVine, Robert A, and Donald T Campbell. 1972. “Ethnocentrism: Theories of Conflict, Ethnic Attitudes, and Group Behavior.”</w:t>
      </w:r>
    </w:p>
    <w:p w:rsidR="00B10A2C" w:rsidRDefault="00F047E7" w:rsidP="00510562">
      <w:pPr>
        <w:pStyle w:val="Bibliography"/>
        <w:jc w:val="both"/>
      </w:pPr>
      <w:bookmarkStart w:id="66" w:name="ref-lupia1998democratic"/>
      <w:bookmarkEnd w:id="65"/>
      <w:r>
        <w:t xml:space="preserve">Lupia, Arthur, Mathew D </w:t>
      </w:r>
      <w:r>
        <w:t xml:space="preserve">McCubbins, and Lupia Arthur. 1998. </w:t>
      </w:r>
      <w:r>
        <w:rPr>
          <w:i/>
        </w:rPr>
        <w:t>The Democratic Dilemma: Can Citizens Learn What They Need to Know?</w:t>
      </w:r>
      <w:r>
        <w:t xml:space="preserve"> Cambridge University Press.</w:t>
      </w:r>
    </w:p>
    <w:p w:rsidR="00B10A2C" w:rsidRDefault="00F047E7" w:rsidP="00510562">
      <w:pPr>
        <w:pStyle w:val="Bibliography"/>
        <w:jc w:val="both"/>
      </w:pPr>
      <w:bookmarkStart w:id="67" w:name="ref-marmaros2006friendships"/>
      <w:bookmarkEnd w:id="66"/>
      <w:r>
        <w:t xml:space="preserve">Marmaros, David, and Bruce Sacerdote. 2006. “How Do Friendships Form?” </w:t>
      </w:r>
      <w:r>
        <w:rPr>
          <w:i/>
        </w:rPr>
        <w:t>The Quarterly Journal of Economics</w:t>
      </w:r>
      <w:r>
        <w:t xml:space="preserve"> 121(1): 79–119.</w:t>
      </w:r>
    </w:p>
    <w:p w:rsidR="00B10A2C" w:rsidRDefault="00F047E7" w:rsidP="00510562">
      <w:pPr>
        <w:pStyle w:val="Bibliography"/>
        <w:jc w:val="both"/>
      </w:pPr>
      <w:bookmarkStart w:id="68" w:name="ref-mcdonnel2017graze"/>
      <w:bookmarkEnd w:id="67"/>
      <w:r>
        <w:t>McDo</w:t>
      </w:r>
      <w:r>
        <w:t xml:space="preserve">nnel, Tim. 2017. “Why It’s Now a Crime to Let Cattle Graze Freely in 2 Nigerian States.” </w:t>
      </w:r>
      <w:r>
        <w:rPr>
          <w:i/>
        </w:rPr>
        <w:t>National Public Radio (NPR)</w:t>
      </w:r>
      <w:r>
        <w:t xml:space="preserve">. </w:t>
      </w:r>
      <w:hyperlink r:id="rId14">
        <w:r>
          <w:rPr>
            <w:rStyle w:val="Hyperlink"/>
          </w:rPr>
          <w:t>https://www.npr.org/sections/goatsandsoda/2017/12/12/569913821/why-its-now-a-crime-to-let-cattle-graze-freely-in-2-nigerian-states</w:t>
        </w:r>
      </w:hyperlink>
      <w:r>
        <w:t>.</w:t>
      </w:r>
    </w:p>
    <w:p w:rsidR="00B10A2C" w:rsidRDefault="00F047E7" w:rsidP="00510562">
      <w:pPr>
        <w:pStyle w:val="Bibliography"/>
        <w:jc w:val="both"/>
      </w:pPr>
      <w:bookmarkStart w:id="69" w:name="ref-mcdougal2015effect"/>
      <w:bookmarkEnd w:id="68"/>
      <w:r>
        <w:lastRenderedPageBreak/>
        <w:t>McDougal, Topher L et al. 2015. “The Effect of Farmer-Pastoralist Violence on Income: New Survey Evidence from N</w:t>
      </w:r>
      <w:r>
        <w:t xml:space="preserve">igeria’s Middle Belt States.” </w:t>
      </w:r>
      <w:r>
        <w:rPr>
          <w:i/>
        </w:rPr>
        <w:t>Economics of Peace and Security Journal</w:t>
      </w:r>
      <w:r>
        <w:t xml:space="preserve"> 10(1): 54–65.</w:t>
      </w:r>
    </w:p>
    <w:p w:rsidR="00B10A2C" w:rsidRDefault="00F047E7" w:rsidP="00510562">
      <w:pPr>
        <w:pStyle w:val="Bibliography"/>
        <w:jc w:val="both"/>
      </w:pPr>
      <w:bookmarkStart w:id="70" w:name="ref-mwamfupe2015persistence"/>
      <w:bookmarkEnd w:id="69"/>
      <w:r>
        <w:t xml:space="preserve">Mwamfupe, Davis. 2015. “Persistence of Farmer-Herder Conflicts in Tanzania.” </w:t>
      </w:r>
      <w:r>
        <w:rPr>
          <w:i/>
        </w:rPr>
        <w:t>International Journal of Scientific and Research Publications</w:t>
      </w:r>
      <w:r>
        <w:t xml:space="preserve"> 5(2): 1–8.</w:t>
      </w:r>
    </w:p>
    <w:p w:rsidR="00B10A2C" w:rsidRDefault="00F047E7" w:rsidP="00510562">
      <w:pPr>
        <w:pStyle w:val="Bibliography"/>
        <w:jc w:val="both"/>
      </w:pPr>
      <w:bookmarkStart w:id="71" w:name="ref-nigeria2014freedom"/>
      <w:bookmarkEnd w:id="70"/>
      <w:r>
        <w:t>Network, Nigeria Resea</w:t>
      </w:r>
      <w:r>
        <w:t xml:space="preserve">rch. 2014. “Indigeneity, Belonging, and Religious Freedom in Nigeria: Citizens’ Views from the Street.” </w:t>
      </w:r>
      <w:r>
        <w:rPr>
          <w:i/>
        </w:rPr>
        <w:t>5. NRN Policy Brief</w:t>
      </w:r>
      <w:r>
        <w:t>.</w:t>
      </w:r>
    </w:p>
    <w:p w:rsidR="00B10A2C" w:rsidRDefault="00F047E7" w:rsidP="00510562">
      <w:pPr>
        <w:pStyle w:val="Bibliography"/>
        <w:jc w:val="both"/>
      </w:pPr>
      <w:bookmarkStart w:id="72" w:name="ref-hrc2018farmer"/>
      <w:bookmarkEnd w:id="71"/>
      <w:r>
        <w:t xml:space="preserve">Nnoko-Mewanu, Juliana. 2018. “Farmer-Herder Conflicts on the Rise in Africa.” </w:t>
      </w:r>
      <w:r>
        <w:rPr>
          <w:i/>
        </w:rPr>
        <w:t>Human Rights Watch</w:t>
      </w:r>
      <w:r>
        <w:t>.</w:t>
      </w:r>
    </w:p>
    <w:p w:rsidR="00B10A2C" w:rsidRDefault="00F047E7" w:rsidP="00510562">
      <w:pPr>
        <w:pStyle w:val="Bibliography"/>
        <w:jc w:val="both"/>
      </w:pPr>
      <w:bookmarkStart w:id="73" w:name="ref-nyhan2010corrections"/>
      <w:bookmarkEnd w:id="72"/>
      <w:r>
        <w:t>Nyhan, Brendan, and Jason Reifler</w:t>
      </w:r>
      <w:r>
        <w:t xml:space="preserve">. 2010. “When Corrections Fail: The Persistence of Political Misperceptions.” </w:t>
      </w:r>
      <w:r>
        <w:rPr>
          <w:i/>
        </w:rPr>
        <w:t>Political Behavior</w:t>
      </w:r>
      <w:r>
        <w:t xml:space="preserve"> 32(2): 303–30.</w:t>
      </w:r>
    </w:p>
    <w:p w:rsidR="00B10A2C" w:rsidRDefault="00F047E7" w:rsidP="00510562">
      <w:pPr>
        <w:pStyle w:val="Bibliography"/>
        <w:jc w:val="both"/>
      </w:pPr>
      <w:bookmarkStart w:id="74" w:name="ref-okpara2015conflicts"/>
      <w:bookmarkEnd w:id="73"/>
      <w:r>
        <w:t>Okpara, Uche T, Lindsay C Stringer, Andrew J Dougill, and Mohammed D Bila. 2015. “Conflicts About Water in Lake Chad: Are Environmental, Vulnera</w:t>
      </w:r>
      <w:r>
        <w:t xml:space="preserve">bility and Security Issues Linked?” </w:t>
      </w:r>
      <w:r>
        <w:rPr>
          <w:i/>
        </w:rPr>
        <w:t>Progress in Development Studies</w:t>
      </w:r>
      <w:r>
        <w:t xml:space="preserve"> 15(4): 308–25.</w:t>
      </w:r>
    </w:p>
    <w:p w:rsidR="00B10A2C" w:rsidRDefault="00F047E7" w:rsidP="00510562">
      <w:pPr>
        <w:pStyle w:val="Bibliography"/>
        <w:jc w:val="both"/>
      </w:pPr>
      <w:bookmarkStart w:id="75" w:name="ref-onwezen2013norm"/>
      <w:bookmarkEnd w:id="74"/>
      <w:r>
        <w:t xml:space="preserve">Onwezen, Marleen C, Gerrit Antonides, and Jos Bartels. 2013. “The Norm Activation Model: An Exploration of the Functions of Anticipated Pride and Guilt in Pro-Environmental </w:t>
      </w:r>
      <w:r>
        <w:t xml:space="preserve">Behaviour.” </w:t>
      </w:r>
      <w:r>
        <w:rPr>
          <w:i/>
        </w:rPr>
        <w:t>Journal of Economic Psychology</w:t>
      </w:r>
      <w:r>
        <w:t xml:space="preserve"> 39: 141–53.</w:t>
      </w:r>
    </w:p>
    <w:p w:rsidR="00B10A2C" w:rsidRDefault="00F047E7" w:rsidP="00510562">
      <w:pPr>
        <w:pStyle w:val="Bibliography"/>
        <w:jc w:val="both"/>
      </w:pPr>
      <w:bookmarkStart w:id="76" w:name="ref-ostrom2000collective"/>
      <w:bookmarkEnd w:id="75"/>
      <w:r>
        <w:t xml:space="preserve">Ostrom, Elinor. 2000. “Collective Action and the Evolution of Social Norms.” </w:t>
      </w:r>
      <w:r>
        <w:rPr>
          <w:i/>
        </w:rPr>
        <w:t>Journal of economic perspectives</w:t>
      </w:r>
      <w:r>
        <w:t xml:space="preserve"> 14(3): 137–58.</w:t>
      </w:r>
    </w:p>
    <w:p w:rsidR="00B10A2C" w:rsidRDefault="00F047E7" w:rsidP="00510562">
      <w:pPr>
        <w:pStyle w:val="Bibliography"/>
        <w:jc w:val="both"/>
      </w:pPr>
      <w:bookmarkStart w:id="77" w:name="ref-ostrom2003trust"/>
      <w:bookmarkEnd w:id="76"/>
      <w:r>
        <w:t xml:space="preserve">Ostrom, Elinor, and James Walker. 2003. </w:t>
      </w:r>
      <w:r>
        <w:rPr>
          <w:i/>
        </w:rPr>
        <w:t>Trust and Reciprocity: Interdiscipli</w:t>
      </w:r>
      <w:r>
        <w:rPr>
          <w:i/>
        </w:rPr>
        <w:t>nary Lessons for Experimental Research</w:t>
      </w:r>
      <w:r>
        <w:t>. Russell Sage Foundation.</w:t>
      </w:r>
    </w:p>
    <w:p w:rsidR="00B10A2C" w:rsidRDefault="00F047E7" w:rsidP="00510562">
      <w:pPr>
        <w:pStyle w:val="Bibliography"/>
        <w:jc w:val="both"/>
      </w:pPr>
      <w:bookmarkStart w:id="78" w:name="ref-page2008little"/>
      <w:bookmarkEnd w:id="77"/>
      <w:r>
        <w:t>Page-Gould, Elizabeth, Rodolfo Mendoza-Denton, and Linda R Tropp. 2008. “With a Little Help from My Cross-Group Friend: Reducing Anxiety in Intergroup Contexts Through Cross-Group Friendship.</w:t>
      </w:r>
      <w:r>
        <w:t xml:space="preserve">” </w:t>
      </w:r>
      <w:r>
        <w:rPr>
          <w:i/>
        </w:rPr>
        <w:t>Journal of personality and social psychology</w:t>
      </w:r>
      <w:r>
        <w:t xml:space="preserve"> 95(5): 1080.</w:t>
      </w:r>
    </w:p>
    <w:p w:rsidR="00B10A2C" w:rsidRDefault="00F047E7" w:rsidP="00510562">
      <w:pPr>
        <w:pStyle w:val="Bibliography"/>
        <w:jc w:val="both"/>
      </w:pPr>
      <w:bookmarkStart w:id="79" w:name="ref-paluck2017contact"/>
      <w:bookmarkEnd w:id="78"/>
      <w:r>
        <w:t>Paluck, Elizabeth Levy, Seth Green, and Donald P Green. 2017. “The Contact Hypothesis Revisited.”</w:t>
      </w:r>
    </w:p>
    <w:p w:rsidR="00B10A2C" w:rsidRDefault="00F047E7" w:rsidP="00510562">
      <w:pPr>
        <w:pStyle w:val="Bibliography"/>
        <w:jc w:val="both"/>
      </w:pPr>
      <w:bookmarkStart w:id="80" w:name="ref-paolini2010negative"/>
      <w:bookmarkEnd w:id="79"/>
      <w:r>
        <w:t xml:space="preserve">Paolini, Stefania, Jake Harwood, and Mark Rubin. 2010. “Negative Intergroup Contact Makes Group Memberships Salient: Explaining Why Intergroup Conflict Endures.” </w:t>
      </w:r>
      <w:r>
        <w:rPr>
          <w:i/>
        </w:rPr>
        <w:t>Personality and Social Psychology Bulletin</w:t>
      </w:r>
      <w:r>
        <w:t xml:space="preserve"> 36(12): 1723–38.</w:t>
      </w:r>
    </w:p>
    <w:p w:rsidR="00B10A2C" w:rsidRDefault="00F047E7" w:rsidP="00510562">
      <w:pPr>
        <w:pStyle w:val="Bibliography"/>
        <w:jc w:val="both"/>
      </w:pPr>
      <w:bookmarkStart w:id="81" w:name="ref-paolini2004effects"/>
      <w:bookmarkEnd w:id="80"/>
      <w:r>
        <w:t>Paolini, Stefania, Miles Hewstone,</w:t>
      </w:r>
      <w:r>
        <w:t xml:space="preserve"> Ed Cairns, and Alberto Voci. 2004. “Effects of Direct and Indirect Cross-Group Friendships on Judgments of Catholics and Protestants in Northern Ireland: The Mediating Role of an Anxiety-Reduction Mechanism.” </w:t>
      </w:r>
      <w:r>
        <w:rPr>
          <w:i/>
        </w:rPr>
        <w:t>Personality and Social Psychology Bulletin</w:t>
      </w:r>
      <w:r>
        <w:t xml:space="preserve"> 30(</w:t>
      </w:r>
      <w:r>
        <w:t>6): 770–86.</w:t>
      </w:r>
    </w:p>
    <w:p w:rsidR="00B10A2C" w:rsidRDefault="00F047E7" w:rsidP="00510562">
      <w:pPr>
        <w:pStyle w:val="Bibliography"/>
        <w:jc w:val="both"/>
      </w:pPr>
      <w:bookmarkStart w:id="82" w:name="ref-pettigrew2006meta"/>
      <w:bookmarkEnd w:id="81"/>
      <w:r>
        <w:t xml:space="preserve">Pettigrew, Thomas F, and Linda R Tropp. 2006. “A Meta-Analytic Test of Intergroup Contact Theory.” </w:t>
      </w:r>
      <w:r>
        <w:rPr>
          <w:i/>
        </w:rPr>
        <w:t>Journal of personality and social psychology</w:t>
      </w:r>
      <w:r>
        <w:t xml:space="preserve"> 90(5): 751.</w:t>
      </w:r>
    </w:p>
    <w:p w:rsidR="00B10A2C" w:rsidRDefault="00F047E7" w:rsidP="00510562">
      <w:pPr>
        <w:pStyle w:val="Bibliography"/>
        <w:jc w:val="both"/>
      </w:pPr>
      <w:bookmarkStart w:id="83" w:name="ref-pettigrew2008does"/>
      <w:bookmarkEnd w:id="82"/>
      <w:r>
        <w:lastRenderedPageBreak/>
        <w:t>———. 2008. “How Does Intergroup Contact Reduce Prejudice? Meta-Analytic Tests of Three M</w:t>
      </w:r>
      <w:r>
        <w:t xml:space="preserve">ediators.” </w:t>
      </w:r>
      <w:r>
        <w:rPr>
          <w:i/>
        </w:rPr>
        <w:t>European Journal of Social Psychology</w:t>
      </w:r>
      <w:r>
        <w:t xml:space="preserve"> 38(6): 922–34.</w:t>
      </w:r>
    </w:p>
    <w:p w:rsidR="00B10A2C" w:rsidRDefault="00F047E7" w:rsidP="00510562">
      <w:pPr>
        <w:pStyle w:val="Bibliography"/>
        <w:jc w:val="both"/>
      </w:pPr>
      <w:bookmarkStart w:id="84" w:name="ref-pettigrew2013groups"/>
      <w:bookmarkEnd w:id="83"/>
      <w:r>
        <w:t xml:space="preserve">———. 2013. </w:t>
      </w:r>
      <w:r>
        <w:rPr>
          <w:i/>
        </w:rPr>
        <w:t>When Groups Meet: The Dynamics of Intergroup Contact</w:t>
      </w:r>
      <w:r>
        <w:t>. psychology press.</w:t>
      </w:r>
    </w:p>
    <w:p w:rsidR="00B10A2C" w:rsidRDefault="00F047E7" w:rsidP="00510562">
      <w:pPr>
        <w:pStyle w:val="Bibliography"/>
        <w:jc w:val="both"/>
      </w:pPr>
      <w:bookmarkStart w:id="85" w:name="ref-pettigrew2011advances"/>
      <w:bookmarkEnd w:id="84"/>
      <w:r>
        <w:t>Pettigrew, Thomas F, Linda R Tropp, Ulrich Wagner, and Oliver Christ. 2011. “Recent Advances in Intergroup Co</w:t>
      </w:r>
      <w:r>
        <w:t xml:space="preserve">ntact Theory.” </w:t>
      </w:r>
      <w:r>
        <w:rPr>
          <w:i/>
        </w:rPr>
        <w:t>International Journal of Intercultural Relations</w:t>
      </w:r>
      <w:r>
        <w:t xml:space="preserve"> 35(3): 271–80.</w:t>
      </w:r>
    </w:p>
    <w:p w:rsidR="00B10A2C" w:rsidRDefault="00F047E7" w:rsidP="00510562">
      <w:pPr>
        <w:pStyle w:val="Bibliography"/>
        <w:jc w:val="both"/>
      </w:pPr>
      <w:bookmarkStart w:id="86" w:name="ref-powell2006war"/>
      <w:bookmarkEnd w:id="85"/>
      <w:r>
        <w:t xml:space="preserve">Powell, Robert. 2006. “War as a Commitment Problem.” </w:t>
      </w:r>
      <w:r>
        <w:rPr>
          <w:i/>
        </w:rPr>
        <w:t>International organization</w:t>
      </w:r>
      <w:r>
        <w:t xml:space="preserve"> 60(1): 169–203.</w:t>
      </w:r>
    </w:p>
    <w:p w:rsidR="00B10A2C" w:rsidRDefault="00F047E7" w:rsidP="00510562">
      <w:pPr>
        <w:pStyle w:val="Bibliography"/>
        <w:jc w:val="both"/>
      </w:pPr>
      <w:bookmarkStart w:id="87" w:name="ref-rohner2013war"/>
      <w:bookmarkEnd w:id="86"/>
      <w:r>
        <w:t>Rohner, Dominic, Mathias Thoenig, and Fabrizio Zilibotti. 2013. “War Signals: A T</w:t>
      </w:r>
      <w:r>
        <w:t xml:space="preserve">heory of Trade, Trust, and Conflict.” </w:t>
      </w:r>
      <w:r>
        <w:rPr>
          <w:i/>
        </w:rPr>
        <w:t>Review of Economic Studies</w:t>
      </w:r>
      <w:r>
        <w:t xml:space="preserve"> 80(3): 1114–47.</w:t>
      </w:r>
    </w:p>
    <w:p w:rsidR="00B10A2C" w:rsidRDefault="00F047E7" w:rsidP="00510562">
      <w:pPr>
        <w:pStyle w:val="Bibliography"/>
        <w:jc w:val="both"/>
      </w:pPr>
      <w:bookmarkStart w:id="88" w:name="ref-ross1991barriers"/>
      <w:bookmarkEnd w:id="87"/>
      <w:r>
        <w:t xml:space="preserve">Ross, Lee, and Constance Stillinger. 1991. “Barriers to Conflict Resolution.” </w:t>
      </w:r>
      <w:r>
        <w:rPr>
          <w:i/>
        </w:rPr>
        <w:t>Negotiation journal</w:t>
      </w:r>
      <w:r>
        <w:t xml:space="preserve"> 7(4): 389–404.</w:t>
      </w:r>
    </w:p>
    <w:p w:rsidR="00B10A2C" w:rsidRDefault="00F047E7" w:rsidP="00510562">
      <w:pPr>
        <w:pStyle w:val="Bibliography"/>
        <w:jc w:val="both"/>
      </w:pPr>
      <w:bookmarkStart w:id="89" w:name="ref-scacco2018nigeria"/>
      <w:bookmarkEnd w:id="88"/>
      <w:r>
        <w:t>Scacco, Alexandra, and Shana S Warren. 2018. “Can Social Conta</w:t>
      </w:r>
      <w:r>
        <w:t xml:space="preserve">ct Reduce Prejudice and Discrimination? Evidence from a Field Experiment in Nigeria.” </w:t>
      </w:r>
      <w:r>
        <w:rPr>
          <w:i/>
        </w:rPr>
        <w:t>American Political Science Review</w:t>
      </w:r>
      <w:r>
        <w:t xml:space="preserve"> 112(3): 654–77.</w:t>
      </w:r>
    </w:p>
    <w:p w:rsidR="00B10A2C" w:rsidRDefault="00F047E7" w:rsidP="00510562">
      <w:pPr>
        <w:pStyle w:val="Bibliography"/>
        <w:jc w:val="both"/>
      </w:pPr>
      <w:bookmarkStart w:id="90" w:name="ref-sen2007emergence"/>
      <w:bookmarkEnd w:id="89"/>
      <w:r>
        <w:t xml:space="preserve">Sen, Sandip, and Stéphane Airiau. 2007. “Emergence of Norms Through Social Learning.” In </w:t>
      </w:r>
      <w:r>
        <w:rPr>
          <w:i/>
        </w:rPr>
        <w:t>IJCAI</w:t>
      </w:r>
      <w:r>
        <w:t>, 1512.</w:t>
      </w:r>
    </w:p>
    <w:p w:rsidR="00B10A2C" w:rsidRDefault="00F047E7" w:rsidP="00510562">
      <w:pPr>
        <w:pStyle w:val="Bibliography"/>
        <w:jc w:val="both"/>
      </w:pPr>
      <w:bookmarkStart w:id="91" w:name="ref-sherif1958superordinate"/>
      <w:bookmarkEnd w:id="90"/>
      <w:r>
        <w:t xml:space="preserve">Sherif, Muzafer. 1958. “Superordinate Goals in the Reduction of Intergroup Conflict.” </w:t>
      </w:r>
      <w:r>
        <w:rPr>
          <w:i/>
        </w:rPr>
        <w:t>American journal of Sociology</w:t>
      </w:r>
      <w:r>
        <w:t xml:space="preserve"> 63(4): 349–56.</w:t>
      </w:r>
    </w:p>
    <w:p w:rsidR="00B10A2C" w:rsidRDefault="00F047E7" w:rsidP="00510562">
      <w:pPr>
        <w:pStyle w:val="Bibliography"/>
        <w:jc w:val="both"/>
      </w:pPr>
      <w:bookmarkStart w:id="92" w:name="ref-Sherif1988robbersCave"/>
      <w:bookmarkEnd w:id="91"/>
      <w:r>
        <w:t>Sherif, Muzafer et al. 1988. “Intergroup Conflict and Cooperation: The Robbers Cave Experiment, Norman: Institute of Group Re</w:t>
      </w:r>
      <w:r>
        <w:t>lations, University of Oklahoma.”</w:t>
      </w:r>
    </w:p>
    <w:p w:rsidR="00B10A2C" w:rsidRDefault="00F047E7" w:rsidP="00510562">
      <w:pPr>
        <w:pStyle w:val="Bibliography"/>
        <w:jc w:val="both"/>
      </w:pPr>
      <w:bookmarkStart w:id="93" w:name="ref-ucdp"/>
      <w:bookmarkEnd w:id="92"/>
      <w:r>
        <w:t xml:space="preserve">Sundberg, Ralph, and Erik Melander. 2013. “Introducing the Ucdp Georeferenced Event Dataset.” </w:t>
      </w:r>
      <w:r>
        <w:rPr>
          <w:i/>
        </w:rPr>
        <w:t>Journal of Peace Research</w:t>
      </w:r>
      <w:r>
        <w:t xml:space="preserve"> 50(4): 523–32.</w:t>
      </w:r>
    </w:p>
    <w:p w:rsidR="00B10A2C" w:rsidRDefault="00F047E7" w:rsidP="00510562">
      <w:pPr>
        <w:pStyle w:val="Bibliography"/>
        <w:jc w:val="both"/>
      </w:pPr>
      <w:bookmarkStart w:id="94" w:name="ref-tajfel1981groups"/>
      <w:bookmarkEnd w:id="93"/>
      <w:r>
        <w:t xml:space="preserve">Tajfel, Henri. 1981. </w:t>
      </w:r>
      <w:r>
        <w:rPr>
          <w:i/>
        </w:rPr>
        <w:t>Human Groups and Social Categories: Studies in Social Psychology</w:t>
      </w:r>
      <w:r>
        <w:t xml:space="preserve">. </w:t>
      </w:r>
      <w:r>
        <w:t>CUP Archive.</w:t>
      </w:r>
    </w:p>
    <w:p w:rsidR="00B10A2C" w:rsidRDefault="00F047E7" w:rsidP="00510562">
      <w:pPr>
        <w:pStyle w:val="Bibliography"/>
        <w:jc w:val="both"/>
      </w:pPr>
      <w:bookmarkStart w:id="95" w:name="ref-tajfel1979integrative"/>
      <w:bookmarkEnd w:id="94"/>
      <w:r>
        <w:t xml:space="preserve">Tajfel, Henri, and John C Turner. 1979. “An Integrative Theory of Intergroup Conflict.” </w:t>
      </w:r>
      <w:r>
        <w:rPr>
          <w:i/>
        </w:rPr>
        <w:t>The social psychology of intergroup relations</w:t>
      </w:r>
      <w:r>
        <w:t xml:space="preserve"> 33(47): 74.</w:t>
      </w:r>
    </w:p>
    <w:p w:rsidR="00B10A2C" w:rsidRDefault="00F047E7" w:rsidP="00510562">
      <w:pPr>
        <w:pStyle w:val="Bibliography"/>
        <w:jc w:val="both"/>
      </w:pPr>
      <w:bookmarkStart w:id="96" w:name="ref-thomas2018sahara"/>
      <w:bookmarkEnd w:id="95"/>
      <w:r>
        <w:t xml:space="preserve">Thomas, Natalie, and Sumant Nigam. 2018. “Twentieth-Century Climate Change over Africa: Seasonal </w:t>
      </w:r>
      <w:r>
        <w:t xml:space="preserve">Hydroclimate Trends and Sahara Desert Expansion.” </w:t>
      </w:r>
      <w:r>
        <w:rPr>
          <w:i/>
        </w:rPr>
        <w:t>Journal of Climate</w:t>
      </w:r>
      <w:r>
        <w:t xml:space="preserve"> 31(9): 3349–70.</w:t>
      </w:r>
    </w:p>
    <w:p w:rsidR="00B10A2C" w:rsidRDefault="00F047E7" w:rsidP="00510562">
      <w:pPr>
        <w:pStyle w:val="Bibliography"/>
        <w:jc w:val="both"/>
      </w:pPr>
      <w:bookmarkStart w:id="97" w:name="ref-turner1979social"/>
      <w:bookmarkEnd w:id="96"/>
      <w:r>
        <w:t xml:space="preserve">Turner, John C, Rupert J Brown, and Henri Tajfel. 1979. “Social Comparison and Group Interest in Ingroup Favouritism.” </w:t>
      </w:r>
      <w:r>
        <w:rPr>
          <w:i/>
        </w:rPr>
        <w:t>European journal of social psychology</w:t>
      </w:r>
      <w:r>
        <w:t xml:space="preserve"> 9(2): 187–204.</w:t>
      </w:r>
    </w:p>
    <w:p w:rsidR="00B10A2C" w:rsidRDefault="00F047E7" w:rsidP="00510562">
      <w:pPr>
        <w:pStyle w:val="Bibliography"/>
        <w:jc w:val="both"/>
      </w:pPr>
      <w:bookmarkStart w:id="98" w:name="ref-unah2018nigeria"/>
      <w:bookmarkEnd w:id="97"/>
      <w:r>
        <w:t xml:space="preserve">Unah, Linus. 2018. “In Nigeria’s Diverse Middle Belt, a Drying Landscape Deepens Violent Divides.” </w:t>
      </w:r>
      <w:r>
        <w:rPr>
          <w:i/>
        </w:rPr>
        <w:t>Christian Science Minitor</w:t>
      </w:r>
      <w:r>
        <w:t>.</w:t>
      </w:r>
    </w:p>
    <w:p w:rsidR="00B10A2C" w:rsidRDefault="00F047E7" w:rsidP="00510562">
      <w:pPr>
        <w:pStyle w:val="Bibliography"/>
        <w:jc w:val="both"/>
      </w:pPr>
      <w:bookmarkStart w:id="99" w:name="ref-unhcr2019"/>
      <w:bookmarkEnd w:id="98"/>
      <w:r>
        <w:rPr>
          <w:i/>
        </w:rPr>
        <w:lastRenderedPageBreak/>
        <w:t>UNHCR Statistical Yearbook</w:t>
      </w:r>
      <w:r>
        <w:t>. 2019. https://www.unhcr.org/en-us/figures-at-a-glance.html: United Nations High Commission for Refuge</w:t>
      </w:r>
      <w:r>
        <w:t>es.</w:t>
      </w:r>
    </w:p>
    <w:p w:rsidR="00B10A2C" w:rsidRDefault="00F047E7" w:rsidP="00510562">
      <w:pPr>
        <w:pStyle w:val="Bibliography"/>
        <w:jc w:val="both"/>
      </w:pPr>
      <w:bookmarkStart w:id="100" w:name="ref-vallone1985hostileMedia"/>
      <w:bookmarkEnd w:id="99"/>
      <w:r>
        <w:t xml:space="preserve">Vallone, Robert P, Lee Ross, and Mark R Lepper. 1985. “The Hostile Media Phenomenon: Biased Perception and Perceptions of Media Bias in Coverage of the Beirut Massacre.” </w:t>
      </w:r>
      <w:r>
        <w:rPr>
          <w:i/>
        </w:rPr>
        <w:t>Journal of personality and social psychology</w:t>
      </w:r>
      <w:r>
        <w:t xml:space="preserve"> 49(3): 577.</w:t>
      </w:r>
    </w:p>
    <w:p w:rsidR="00B10A2C" w:rsidRDefault="00F047E7" w:rsidP="00510562">
      <w:pPr>
        <w:pStyle w:val="Bibliography"/>
        <w:jc w:val="both"/>
      </w:pPr>
      <w:bookmarkStart w:id="101" w:name="ref-verwimp2012food"/>
      <w:bookmarkEnd w:id="100"/>
      <w:r>
        <w:t>Verwimp, Philip, and othe</w:t>
      </w:r>
      <w:r>
        <w:t xml:space="preserve">rs. 2012. “Food Security, Violent Conflict and Human Development: Causes and Consequences.” </w:t>
      </w:r>
      <w:r>
        <w:rPr>
          <w:i/>
        </w:rPr>
        <w:t>United Nations Development Programme Working Paper</w:t>
      </w:r>
      <w:r>
        <w:t>: 1–13.</w:t>
      </w:r>
    </w:p>
    <w:p w:rsidR="00B10A2C" w:rsidRDefault="00F047E7" w:rsidP="00510562">
      <w:pPr>
        <w:pStyle w:val="Bibliography"/>
        <w:jc w:val="both"/>
      </w:pPr>
      <w:bookmarkStart w:id="102" w:name="ref-ward1997naive"/>
      <w:bookmarkEnd w:id="101"/>
      <w:r>
        <w:t>Ward, Andrew et al. 1997. “Naive Realism in Everyday Life: Implications for Social Conflict and Misunderst</w:t>
      </w:r>
      <w:r>
        <w:t xml:space="preserve">anding.” </w:t>
      </w:r>
      <w:r>
        <w:rPr>
          <w:i/>
        </w:rPr>
        <w:t>Values and knowledge</w:t>
      </w:r>
      <w:r>
        <w:t>: 103–35.</w:t>
      </w:r>
    </w:p>
    <w:p w:rsidR="00B10A2C" w:rsidRDefault="00F047E7" w:rsidP="00510562">
      <w:pPr>
        <w:pStyle w:val="Bibliography"/>
        <w:jc w:val="both"/>
      </w:pPr>
      <w:bookmarkStart w:id="103" w:name="ref-weinstein2005autonomous"/>
      <w:bookmarkEnd w:id="102"/>
      <w:r>
        <w:t xml:space="preserve">Weinstein, Jeremy M. 2005. “Autonomous Recovery and International Intervention in Comparative Perspective.” </w:t>
      </w:r>
      <w:r>
        <w:rPr>
          <w:i/>
        </w:rPr>
        <w:t>Available at SSRN 1114117</w:t>
      </w:r>
      <w:r>
        <w:t>.</w:t>
      </w:r>
    </w:p>
    <w:p w:rsidR="00B10A2C" w:rsidRDefault="00F047E7" w:rsidP="00510562">
      <w:pPr>
        <w:pStyle w:val="Bibliography"/>
        <w:jc w:val="both"/>
      </w:pPr>
      <w:bookmarkStart w:id="104" w:name="ref-weisel2015ingroup"/>
      <w:bookmarkEnd w:id="103"/>
      <w:r>
        <w:t>Weisel, Ori, and Robert Böhm. 2015. “‘Ingroup Love’ and ‘Outgroup Hate’ in Intergr</w:t>
      </w:r>
      <w:r>
        <w:t xml:space="preserve">oup Conflict Between Natural Groups.” </w:t>
      </w:r>
      <w:r>
        <w:rPr>
          <w:i/>
        </w:rPr>
        <w:t>Journal of experimental social psychology</w:t>
      </w:r>
      <w:r>
        <w:t xml:space="preserve"> 60: 110–20.</w:t>
      </w:r>
    </w:p>
    <w:p w:rsidR="00B10A2C" w:rsidRDefault="00F047E7" w:rsidP="00510562">
      <w:pPr>
        <w:pStyle w:val="Bibliography"/>
        <w:jc w:val="both"/>
      </w:pPr>
      <w:bookmarkStart w:id="105" w:name="ref-wood2000attitude"/>
      <w:bookmarkEnd w:id="104"/>
      <w:r>
        <w:t xml:space="preserve">Wood, Wendy. 2000. “Attitude Change: Persuasion and Social Influence.” </w:t>
      </w:r>
      <w:r>
        <w:rPr>
          <w:i/>
        </w:rPr>
        <w:t>Annual review of psychology</w:t>
      </w:r>
      <w:r>
        <w:t xml:space="preserve"> 51(1): 539–70.</w:t>
      </w:r>
    </w:p>
    <w:p w:rsidR="00B10A2C" w:rsidRDefault="00F047E7" w:rsidP="00510562">
      <w:pPr>
        <w:pStyle w:val="Bibliography"/>
        <w:jc w:val="both"/>
      </w:pPr>
      <w:bookmarkStart w:id="106" w:name="ref-yablon2012we"/>
      <w:bookmarkEnd w:id="105"/>
      <w:r>
        <w:t xml:space="preserve">Yablon, Yaacov B. 2012. “Are We Preaching to the Converted? The Role of Motivation in Understanding the Contribution of Intergroup Encounters.” </w:t>
      </w:r>
      <w:r>
        <w:rPr>
          <w:i/>
        </w:rPr>
        <w:t>Journal of Peace Education</w:t>
      </w:r>
      <w:r>
        <w:t xml:space="preserve"> 9(3): 249–63.</w:t>
      </w:r>
    </w:p>
    <w:p w:rsidR="00B10A2C" w:rsidRDefault="00F047E7" w:rsidP="00510562">
      <w:pPr>
        <w:pStyle w:val="Bibliography"/>
        <w:jc w:val="both"/>
      </w:pPr>
      <w:bookmarkStart w:id="107" w:name="ref-yang2013similarity"/>
      <w:bookmarkEnd w:id="106"/>
      <w:r>
        <w:t>Yang, Nianhua. 2013. “A Similarity Based Trust and Reputation Managemen</w:t>
      </w:r>
      <w:r>
        <w:t xml:space="preserve">t Framework for Vanets.” </w:t>
      </w:r>
      <w:r>
        <w:rPr>
          <w:i/>
        </w:rPr>
        <w:t>International Journal of Future Generation Communication and Networking</w:t>
      </w:r>
      <w:r>
        <w:t xml:space="preserve"> 6(2): 25–34.</w:t>
      </w:r>
      <w:bookmarkEnd w:id="10"/>
      <w:bookmarkEnd w:id="107"/>
    </w:p>
    <w:sectPr w:rsidR="00B10A2C">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7E7" w:rsidRDefault="00F047E7">
      <w:pPr>
        <w:spacing w:after="0"/>
      </w:pPr>
      <w:r>
        <w:separator/>
      </w:r>
    </w:p>
  </w:endnote>
  <w:endnote w:type="continuationSeparator" w:id="0">
    <w:p w:rsidR="00F047E7" w:rsidRDefault="00F047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3674031"/>
      <w:docPartObj>
        <w:docPartGallery w:val="Page Numbers (Bottom of Page)"/>
        <w:docPartUnique/>
      </w:docPartObj>
    </w:sdtPr>
    <w:sdtEndPr>
      <w:rPr>
        <w:noProof/>
      </w:rPr>
    </w:sdtEndPr>
    <w:sdtContent>
      <w:p w:rsidR="00510562" w:rsidRDefault="005105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10562" w:rsidRDefault="00510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7E7" w:rsidRDefault="00F047E7">
      <w:r>
        <w:separator/>
      </w:r>
    </w:p>
  </w:footnote>
  <w:footnote w:type="continuationSeparator" w:id="0">
    <w:p w:rsidR="00F047E7" w:rsidRDefault="00F047E7">
      <w:r>
        <w:continuationSeparator/>
      </w:r>
    </w:p>
  </w:footnote>
  <w:footnote w:id="1">
    <w:p w:rsidR="00B10A2C" w:rsidRDefault="00F047E7">
      <w:pPr>
        <w:pStyle w:val="FootnoteText"/>
      </w:pPr>
      <w:r>
        <w:rPr>
          <w:rStyle w:val="FootnoteReference"/>
        </w:rPr>
        <w:footnoteRef/>
      </w:r>
      <w:r>
        <w:t xml:space="preserve"> The communities built boreholes, market stalls, primary health care facilities, etc.</w:t>
      </w:r>
    </w:p>
  </w:footnote>
  <w:footnote w:id="2">
    <w:p w:rsidR="00B10A2C" w:rsidRDefault="00F047E7">
      <w:pPr>
        <w:pStyle w:val="FootnoteText"/>
      </w:pPr>
      <w:r>
        <w:rPr>
          <w:rStyle w:val="FootnoteReference"/>
        </w:rPr>
        <w:footnoteRef/>
      </w:r>
      <w:r>
        <w:t xml:space="preserve"> </w:t>
      </w:r>
      <w:r>
        <w:t xml:space="preserve">In a public goods game (PGG), research subjects are given money and told they can keep the money or donate it to a public fund. Money donated to the public fund is multiplied by some amount and then shared with all subjects. Our PGG is </w:t>
      </w:r>
      <w:r>
        <w:rPr>
          <w:i/>
        </w:rPr>
        <w:t>natural</w:t>
      </w:r>
      <w:r>
        <w:t xml:space="preserve"> because it w</w:t>
      </w:r>
      <w:r>
        <w:t>as conducted in a natural setting, rather than a lab. The funding for the PGG came from the National Science Foundation under Grant No. 1656871.</w:t>
      </w:r>
    </w:p>
  </w:footnote>
  <w:footnote w:id="3">
    <w:p w:rsidR="00B10A2C" w:rsidRDefault="00F047E7">
      <w:pPr>
        <w:pStyle w:val="FootnoteText"/>
      </w:pPr>
      <w:r>
        <w:rPr>
          <w:rStyle w:val="FootnoteReference"/>
        </w:rPr>
        <w:footnoteRef/>
      </w:r>
      <w:r>
        <w:t xml:space="preserve"> The canonical example of a commitment problem is the prisoners’ dilemma: why stay silent if you expect your p</w:t>
      </w:r>
      <w:r>
        <w:t>artner to rat you out?[chris: should I remove this prisoners’ dilemma sentence, footnote PD, or ignore PD?]</w:t>
      </w:r>
    </w:p>
  </w:footnote>
  <w:footnote w:id="4">
    <w:p w:rsidR="00B10A2C" w:rsidRDefault="00F047E7">
      <w:pPr>
        <w:pStyle w:val="FootnoteText"/>
      </w:pPr>
      <w:r>
        <w:rPr>
          <w:rStyle w:val="FootnoteReference"/>
        </w:rPr>
        <w:footnoteRef/>
      </w:r>
      <w:r>
        <w:t xml:space="preserve"> We discuss repeated interactions and reputations together, but these mechanisms are subtly different. The repeated interaction mechanism is genera</w:t>
      </w:r>
      <w:r>
        <w:t>lly mobilized for contexts with just two groups. In those contexts, cooperation in previous interactions assists in obtaining cooperative behavior in the future from the same partner; other potential partners are unnecessary. The reputation mechanism is ge</w:t>
      </w:r>
      <w:r>
        <w:t xml:space="preserve">nerally mobilized for contexts in which many groups observe the behavior of many other groups. In those contexts a good reputation assists in obtaining </w:t>
      </w:r>
      <w:r>
        <w:rPr>
          <w:i/>
        </w:rPr>
        <w:t>other</w:t>
      </w:r>
      <w:r>
        <w:t xml:space="preserve"> cooperative partners; repeated interactions with the same partner are unnecessary. We discuss thes</w:t>
      </w:r>
      <w:r>
        <w:t>e mechanisms together because both rely on creating cooperative expectations from bargaining partners in future interactions.</w:t>
      </w:r>
    </w:p>
  </w:footnote>
  <w:footnote w:id="5">
    <w:p w:rsidR="00B10A2C" w:rsidRDefault="00F047E7">
      <w:pPr>
        <w:pStyle w:val="FootnoteText"/>
      </w:pPr>
      <w:r>
        <w:rPr>
          <w:rStyle w:val="FootnoteReference"/>
        </w:rPr>
        <w:footnoteRef/>
      </w:r>
      <w:r>
        <w:t xml:space="preserve"> The rewards for following injunctive norms and punishments for violating them can come either internally, from the individual fo</w:t>
      </w:r>
      <w:r>
        <w:t>llowing or violating the norm (Abrams and Hogg 1990; Onwezen, Antonides, and Bartels 2013) or from other members of an individual’s group (Bendor and Swistak 2001). Internal reward/punishment comes in the form of feelings like correctness, pride, and shame</w:t>
      </w:r>
      <w:r>
        <w:t>; external reward punishment come in the form of material and social status.</w:t>
      </w:r>
    </w:p>
  </w:footnote>
  <w:footnote w:id="6">
    <w:p w:rsidR="00B10A2C" w:rsidRDefault="00F047E7">
      <w:pPr>
        <w:pStyle w:val="FootnoteText"/>
      </w:pPr>
      <w:r>
        <w:rPr>
          <w:rStyle w:val="FootnoteReference"/>
        </w:rPr>
        <w:footnoteRef/>
      </w:r>
      <w:r>
        <w:t xml:space="preserve"> In addition to reducing the likelihood of ingroup policing, strong anti-outgroup norms might encourage group members to defect on peace agreements that their leaders have agreed</w:t>
      </w:r>
      <w:r>
        <w:t xml:space="preserve"> to. This individual-level defection can cause commitment problems because leaders cannot credibly commit to control the aggressive behaviors of group members.</w:t>
      </w:r>
    </w:p>
  </w:footnote>
  <w:footnote w:id="7">
    <w:p w:rsidR="00B10A2C" w:rsidRDefault="00F047E7">
      <w:pPr>
        <w:pStyle w:val="FootnoteText"/>
      </w:pPr>
      <w:r>
        <w:rPr>
          <w:rStyle w:val="FootnoteReference"/>
        </w:rPr>
        <w:footnoteRef/>
      </w:r>
      <w:r>
        <w:t xml:space="preserve"> Important to differentiate structured vs unstructured contact. Contact under other conditions </w:t>
      </w:r>
      <w:r>
        <w:t>– such as incidental contact, intergroup competition, interactions in which one group has power over the other, elite disapproval of intergroup contact – is unlikely to improve intergroup relations (Enos 2014; Forbes 1997).] This concern is heightened from</w:t>
      </w:r>
      <w:r>
        <w:t xml:space="preserve"> groups in conflict, whose incidental interactions are likely antagonistic.</w:t>
      </w:r>
    </w:p>
  </w:footnote>
  <w:footnote w:id="8">
    <w:p w:rsidR="00B10A2C" w:rsidRDefault="00F047E7">
      <w:pPr>
        <w:pStyle w:val="FootnoteText"/>
      </w:pPr>
      <w:r>
        <w:rPr>
          <w:rStyle w:val="FootnoteReference"/>
        </w:rPr>
        <w:footnoteRef/>
      </w:r>
      <w:r>
        <w:t xml:space="preserve"> A full accounting of the mechanisms through which intergroup contact can improve intergroup relations is beyond the scope of this article. We discuss the mechanisms mostly likely</w:t>
      </w:r>
      <w:r>
        <w:t xml:space="preserve"> to affect prejudice for groups in active conflict. For thorough reviews, see Pettigrew et al. (2011), Pettigrew and Tropp (2008), or Pettigrew and Tropp (2013).] Second, intergroup contact can change emotional reactions to group members and reduce feeling</w:t>
      </w:r>
      <w:r>
        <w:t>s of threat and anxiety Feelings of threat and anxiety often arise from fear of the unknown, and feelings of threat and anxiety reduce as familiarity with outgroup members increases (Lee 2001; Page-Gould, Mendoza-Denton, and Tropp 2008; Paolini et al. 2004</w:t>
      </w:r>
      <w:r>
        <w:t xml:space="preserve">). </w:t>
      </w:r>
    </w:p>
  </w:footnote>
  <w:footnote w:id="9">
    <w:p w:rsidR="00B10A2C" w:rsidRDefault="00F047E7">
      <w:pPr>
        <w:pStyle w:val="FootnoteText"/>
      </w:pPr>
      <w:r>
        <w:rPr>
          <w:rStyle w:val="FootnoteReference"/>
        </w:rPr>
        <w:footnoteRef/>
      </w:r>
      <w:r>
        <w:t xml:space="preserve"> In addition to the role of resource scarcity, Hoffmann and Mohammed (2004) also suggests that southward transhumance by Tuareg groups pushes Fulani pastoralists further south.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51662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CC02E6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7B055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10562"/>
    <w:rsid w:val="00590D07"/>
    <w:rsid w:val="00784D58"/>
    <w:rsid w:val="008D6863"/>
    <w:rsid w:val="00B10A2C"/>
    <w:rsid w:val="00B86B75"/>
    <w:rsid w:val="00BC48D5"/>
    <w:rsid w:val="00C36279"/>
    <w:rsid w:val="00E315A3"/>
    <w:rsid w:val="00F047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04B2"/>
  <w15:docId w15:val="{BA0DCB73-339F-4A0C-81C6-2ED262B8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10562"/>
    <w:pPr>
      <w:tabs>
        <w:tab w:val="center" w:pos="4680"/>
        <w:tab w:val="right" w:pos="9360"/>
      </w:tabs>
      <w:spacing w:after="0"/>
    </w:pPr>
  </w:style>
  <w:style w:type="character" w:customStyle="1" w:styleId="HeaderChar">
    <w:name w:val="Header Char"/>
    <w:basedOn w:val="DefaultParagraphFont"/>
    <w:link w:val="Header"/>
    <w:rsid w:val="00510562"/>
  </w:style>
  <w:style w:type="paragraph" w:styleId="Footer">
    <w:name w:val="footer"/>
    <w:basedOn w:val="Normal"/>
    <w:link w:val="FooterChar"/>
    <w:uiPriority w:val="99"/>
    <w:unhideWhenUsed/>
    <w:rsid w:val="00510562"/>
    <w:pPr>
      <w:tabs>
        <w:tab w:val="center" w:pos="4680"/>
        <w:tab w:val="right" w:pos="9360"/>
      </w:tabs>
      <w:spacing w:after="0"/>
    </w:pPr>
  </w:style>
  <w:style w:type="character" w:customStyle="1" w:styleId="FooterChar">
    <w:name w:val="Footer Char"/>
    <w:basedOn w:val="DefaultParagraphFont"/>
    <w:link w:val="Footer"/>
    <w:uiPriority w:val="99"/>
    <w:rsid w:val="00510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guardngr.com/2018/06/anti-open-grazing-law-nass-benue-kwara-taraba-tackle-defence-minister/" TargetMode="External"/><Relationship Id="rId13" Type="http://schemas.openxmlformats.org/officeDocument/2006/relationships/hyperlink" Target="https://www.cfr.org/blog/update-numbers-behind-sectarian-violence-nigeria" TargetMode="External"/><Relationship Id="rId3" Type="http://schemas.openxmlformats.org/officeDocument/2006/relationships/settings" Target="settings.xml"/><Relationship Id="rId7" Type="http://schemas.openxmlformats.org/officeDocument/2006/relationships/hyperlink" Target="https://www.nytimes.com/2018/06/25/world/africa/nigeria-herders-farmers.html" TargetMode="External"/><Relationship Id="rId12" Type="http://schemas.openxmlformats.org/officeDocument/2006/relationships/hyperlink" Target="https://frontera.net/news/africa/nigeria-violence-in-the-middle-belt-becomes-major-concern-for-president-buhar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newworldencyclopedia.org/p/index.php?title=Fulani&amp;oldid=100477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economist.com/middle-east-and-africa/2019/05/04/states-in-the-sahel-have-unleashed-ethnic-gangs-with-guns" TargetMode="External"/><Relationship Id="rId4" Type="http://schemas.openxmlformats.org/officeDocument/2006/relationships/webSettings" Target="webSettings.xml"/><Relationship Id="rId9" Type="http://schemas.openxmlformats.org/officeDocument/2006/relationships/hyperlink" Target="https://www.vanguardngr.com/2018/11/court-stops-ig-from-proscribing-benue-livestock-guards/" TargetMode="External"/><Relationship Id="rId14" Type="http://schemas.openxmlformats.org/officeDocument/2006/relationships/hyperlink" Target="https://www.npr.org/sections/goatsandsoda/2017/12/12/569913821/why-its-now-a-crime-to-let-cattle-graze-freely-in-2-nigerian-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7865</Words>
  <Characters>44831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Promoting Peace Amidst Group Conflict: An Intergroup Contact Field Experiment in Nigeria</vt:lpstr>
    </vt:vector>
  </TitlesOfParts>
  <Company/>
  <LinksUpToDate>false</LinksUpToDate>
  <CharactersWithSpaces>52591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 Rebecca Wolfe, Danjuma Dawop, and Lisa Inks</dc:creator>
  <cp:keywords/>
  <cp:lastModifiedBy>Chris Grady</cp:lastModifiedBy>
  <cp:revision>2</cp:revision>
  <dcterms:created xsi:type="dcterms:W3CDTF">2019-09-16T19:32:00Z</dcterms:created>
  <dcterms:modified xsi:type="dcterms:W3CDTF">2019-09-16T19:32:00Z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September 16, 2019</vt:lpwstr>
  </property>
  <property fmtid="{D5CDD505-2E9C-101B-9397-08002B2CF9AE}" pid="5" name="output">
    <vt:lpwstr/>
  </property>
</Properties>
</file>