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Intergroup</w:t>
      </w:r>
      <w:r>
        <w:t xml:space="preserve"> </w:t>
      </w:r>
      <w:r>
        <w:t xml:space="preserve">Relations</w:t>
      </w:r>
      <w:r>
        <w:t xml:space="preserve"> </w:t>
      </w:r>
      <w:r>
        <w:t xml:space="preserve">Amid</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r>
        <w:t xml:space="preserve"> </w:t>
      </w:r>
      <w:r>
        <w:t xml:space="preserve">-</w:t>
      </w:r>
      <w:r>
        <w:t xml:space="preserve"> </w:t>
      </w:r>
      <w:r>
        <w:t xml:space="preserve">Theory</w:t>
      </w:r>
    </w:p>
    <w:p>
      <w:pPr>
        <w:pStyle w:val="Author"/>
      </w:pPr>
      <w:r>
        <w:t xml:space="preserve">Christopher</w:t>
      </w:r>
      <w:r>
        <w:t xml:space="preserve"> </w:t>
      </w:r>
      <w:r>
        <w:t xml:space="preserve">Grady,</w:t>
      </w:r>
      <w:r>
        <w:t xml:space="preserve"> </w:t>
      </w:r>
      <w:r>
        <w:t xml:space="preserve">Rebecca</w:t>
      </w:r>
      <w:r>
        <w:t xml:space="preserve"> </w:t>
      </w:r>
      <w:r>
        <w:t xml:space="preserve">Wolfe,</w:t>
      </w:r>
      <w:r>
        <w:t xml:space="preserve"> </w:t>
      </w:r>
      <w:r>
        <w:t xml:space="preserve">Danjuma</w:t>
      </w:r>
      <w:r>
        <w:t xml:space="preserve"> </w:t>
      </w:r>
      <w:r>
        <w:t xml:space="preserve">Dawop,</w:t>
      </w:r>
      <w:r>
        <w:t xml:space="preserve"> </w:t>
      </w:r>
      <w:r>
        <w:t xml:space="preserve">and</w:t>
      </w:r>
      <w:r>
        <w:t xml:space="preserve"> </w:t>
      </w:r>
      <w:r>
        <w:t xml:space="preserve">Lisa</w:t>
      </w:r>
      <w:r>
        <w:t xml:space="preserve"> </w:t>
      </w:r>
      <w:r>
        <w:t xml:space="preserve">Inks</w:t>
      </w:r>
    </w:p>
    <w:p>
      <w:pPr>
        <w:pStyle w:val="Date"/>
      </w:pPr>
      <w:r>
        <w:t xml:space="preserve">November</w:t>
      </w:r>
      <w:r>
        <w:t xml:space="preserve"> </w:t>
      </w:r>
      <w:r>
        <w:t xml:space="preserve">12,</w:t>
      </w:r>
      <w:r>
        <w:t xml:space="preserve"> </w:t>
      </w:r>
      <w:r>
        <w:t xml:space="preserve">2019</w:t>
      </w:r>
    </w:p>
    <w:p>
      <w:pPr>
        <w:pStyle w:val="Heading1"/>
      </w:pPr>
      <w:bookmarkStart w:id="20" w:name="theory"/>
      <w:r>
        <w:t xml:space="preserve">Theory</w:t>
      </w:r>
      <w:bookmarkEnd w:id="20"/>
    </w:p>
    <w:p>
      <w:pPr>
        <w:pStyle w:val="FirstParagraph"/>
      </w:pPr>
      <w:r>
        <w:t xml:space="preserve">Summary of typical contact theory stuff. To understand why cooperative contact might not work for groups in conflict, we must specify the mechanisms through which contact works and then specify why contextual factors/conditions somehow block/prevent that mechanism.</w:t>
      </w:r>
    </w:p>
    <w:p>
      <w:pPr>
        <w:pStyle w:val="BodyText"/>
      </w:pPr>
      <w:r>
        <w:t xml:space="preserve">How intergroup contact works:</w:t>
      </w:r>
      <w:r>
        <w:t xml:space="preserve"> </w:t>
      </w:r>
      <w:r>
        <w:t xml:space="preserve">- Knowledge effect: experience with outgroup replaces misperceptions and stereotypes. Hear their perspective and understand point of view == less prejudice &amp; no longer attribute negative motivations to the outgroup.</w:t>
      </w:r>
      <w:r>
        <w:t xml:space="preserve"> </w:t>
      </w:r>
      <w:r>
        <w:t xml:space="preserve">(Allport 1954)</w:t>
      </w:r>
      <w:r>
        <w:t xml:space="preserve"> </w:t>
      </w:r>
      <w:r>
        <w:t xml:space="preserve">- Contact itself: Familiarity breeds liking</w:t>
      </w:r>
      <w:r>
        <w:t xml:space="preserve"> </w:t>
      </w:r>
      <w:r>
        <w:t xml:space="preserve">(Pettigrew and Tropp 2006)</w:t>
      </w:r>
      <w:r>
        <w:t xml:space="preserve"> </w:t>
      </w:r>
      <w:r>
        <w:t xml:space="preserve">- Expand ingroup to include the former outgroup</w:t>
      </w:r>
      <w:r>
        <w:t xml:space="preserve"> </w:t>
      </w:r>
      <w:r>
        <w:t xml:space="preserve">(Gaertner and Dovidio 2014)</w:t>
      </w:r>
      <w:r>
        <w:t xml:space="preserve"> </w:t>
      </w:r>
      <w:r>
        <w:t xml:space="preserve">- Reduce anxiety, uncertainty, and threat</w:t>
      </w:r>
      <w:r>
        <w:t xml:space="preserve"> </w:t>
      </w:r>
      <w:r>
        <w:t xml:space="preserve">(Lee 2001; Page-Gould, Mendoza-Denton, and Tropp 2008; Paolini et al. 2004; Pettigrew and Tropp 2008)</w:t>
      </w:r>
      <w:r>
        <w:t xml:space="preserve"> </w:t>
      </w:r>
      <w:r>
        <w:t xml:space="preserve">- Increase perspective taking/empathy for outgroup</w:t>
      </w:r>
      <w:r>
        <w:t xml:space="preserve"> </w:t>
      </w:r>
      <w:r>
        <w:t xml:space="preserve">(Broockman and Kalla 2016; Pettigrew and Tropp 2008)</w:t>
      </w:r>
    </w:p>
    <w:p>
      <w:pPr>
        <w:pStyle w:val="BodyText"/>
      </w:pPr>
      <w:r>
        <w:t xml:space="preserve">Diffuse to others through extended contact or social norms.</w:t>
      </w:r>
    </w:p>
    <w:p>
      <w:pPr>
        <w:pStyle w:val="Heading2"/>
      </w:pPr>
      <w:bookmarkStart w:id="21" w:name="X4d743ed8a4e2665639debc525e2e1ebaa709dfb"/>
      <w:r>
        <w:t xml:space="preserve">How conflict could prevent relations from improving</w:t>
      </w:r>
      <w:bookmarkEnd w:id="21"/>
    </w:p>
    <w:p>
      <w:pPr>
        <w:pStyle w:val="FirstParagraph"/>
      </w:pPr>
      <w:r>
        <w:t xml:space="preserve">Contact theory assumes that negative stereotypes cause intergroup animosity. Stereotypes, natural mental shortcuts that help an individual understand his/her experiences, are especially likely to go awry and create animosity when an individual has little or no experience with members of another group. Without intergroup experience, stereotypes will misrepresent groups and create imagined differences between in-group and outgroup members. To remove these negative stereotypes new experiences must override them, allowing an individual to re- conceptualize the outgroup.</w:t>
      </w:r>
    </w:p>
    <w:p>
      <w:pPr>
        <w:pStyle w:val="BodyText"/>
      </w:pPr>
      <w:r>
        <w:t xml:space="preserve">The mechanisms through which contact improves an individual’s negative outgroup attitudes assume that the negative attitudes are caused by a lack of experience with the other side. And the contact hypothesis is almost always tested on groups who are spatially segregated and have limited opportunities for interaction – white people and black people, Muslims and Christians, Jews and Arabs. How does contact work when negative attitudes are based on negative experience, rather than inexperience?</w:t>
      </w:r>
    </w:p>
    <w:p>
      <w:pPr>
        <w:pStyle w:val="BodyText"/>
      </w:pPr>
      <w:r>
        <w:t xml:space="preserve">The information mechanism assumes minimal previous experience; these groups have many negative experiences, and many group members have been directly harmed. Real information about the other side will not decrease animosity when it is probably true that some members of the other side want to cause physical harm to your side.</w:t>
      </w:r>
    </w:p>
    <w:p>
      <w:pPr>
        <w:pStyle w:val="BodyText"/>
      </w:pPr>
      <w:r>
        <w:t xml:space="preserve">Empathy seems to apply to prejudice that advantaged groups feel towards disadvantaged, but empathy/perspective-taking should not improve relations if the other side is expected to be belligerent</w:t>
      </w:r>
      <w:r>
        <w:t xml:space="preserve"> </w:t>
      </w:r>
      <w:r>
        <w:t xml:space="preserve">(Kertzer, Brutger, and Quek 2018)</w:t>
      </w:r>
      <w:r>
        <w:t xml:space="preserve">. Anxiety based on unfamiliarity with outgroup is different than anxiety based on anxiety-inducing previous experiences.</w:t>
      </w:r>
    </w:p>
    <w:p>
      <w:pPr>
        <w:pStyle w:val="BodyText"/>
      </w:pPr>
      <w:r>
        <w:t xml:space="preserve">Superordinate identities unlikely for groups in violent conflict, who will have few shared identities and whose material interests are opposed.</w:t>
      </w:r>
    </w:p>
    <w:p>
      <w:pPr>
        <w:pStyle w:val="BodyText"/>
      </w:pPr>
      <w:r>
        <w:t xml:space="preserve">Negative contact experiences worsen intergroup relations</w:t>
      </w:r>
      <w:r>
        <w:t xml:space="preserve"> </w:t>
      </w:r>
      <w:r>
        <w:t xml:space="preserve">(Paolini, Harwood, and Rubin 2010)</w:t>
      </w:r>
      <w:r>
        <w:t xml:space="preserve">. Individuals with the worst attitudes may experience backlash effects</w:t>
      </w:r>
      <w:r>
        <w:t xml:space="preserve"> </w:t>
      </w:r>
      <w:r>
        <w:t xml:space="preserve">(Gubler 2011)</w:t>
      </w:r>
      <w:r>
        <w:t xml:space="preserve">.</w:t>
      </w:r>
    </w:p>
    <w:p>
      <w:pPr>
        <w:pStyle w:val="BodyText"/>
      </w:pPr>
      <w:r>
        <w:rPr>
          <w:b/>
        </w:rPr>
        <w:t xml:space="preserve">Contact does not change cause of conflict</w:t>
      </w:r>
      <w:r>
        <w:t xml:space="preserve"> </w:t>
      </w:r>
      <w:r>
        <w:t xml:space="preserve">Real world violence caused by real world problems. These groups have misaligned incentives. Literatures in psych, IR, and econ that predict no change after intergroup contact because groups incentives still fundamentally misaligned. Pastoralists want to graze, farmers do not want them to graze. Contact not change the fundamental causes of conflict; things that cause conflict also cause negative intergroup attitudes. Could get peace through negotiation, but no bargaining range. Could get peace through negotiation, but cannot trust all group members to abide by deal</w:t>
      </w:r>
    </w:p>
    <w:p>
      <w:pPr>
        <w:pStyle w:val="BodyText"/>
      </w:pPr>
      <w:r>
        <w:rPr>
          <w:b/>
        </w:rPr>
        <w:t xml:space="preserve">Contact could do bad things</w:t>
      </w:r>
    </w:p>
    <w:p>
      <w:pPr>
        <w:pStyle w:val="BodyText"/>
      </w:pPr>
      <w:r>
        <w:t xml:space="preserve">not all intergroup contact decreases animosity. Negative intergroup interactions increase prejudice and lead to more negative attitudes towards outgroup members (Paolini et al 2010; Enos 2014; sands 2017; condra and linardi 2019). Groups in conflict more likely than others to have negative contact experiences.</w:t>
      </w:r>
    </w:p>
    <w:p>
      <w:pPr>
        <w:pStyle w:val="BodyText"/>
      </w:pPr>
      <w:r>
        <w:t xml:space="preserve">Even well-structured positive interactions can increase negative attitudes by causing cognitive dissonance in prejudiced individuals, which causes them to cling more strongly to their prejudicial beliefs (Gubler 2011). Groups in conflict more likely than others to have strong, stable, negative opinions towards the outgroup.</w:t>
      </w:r>
    </w:p>
    <w:p>
      <w:pPr>
        <w:pStyle w:val="BodyText"/>
      </w:pPr>
      <w:r>
        <w:rPr>
          <w:b/>
        </w:rPr>
        <w:t xml:space="preserve">conditions under which contact work are not present</w:t>
      </w:r>
    </w:p>
    <w:p>
      <w:pPr>
        <w:pStyle w:val="BodyText"/>
      </w:pPr>
      <w:r>
        <w:t xml:space="preserve">Conditions must be met for intergroup contact to improve intergroup relations and reduce violent conflict. First, ingroup members must generalize their contact with a few outgroup members to the entire outgroup. Second, the positive effects of contact must diffuse throughout the ingroup. Third, attitudes of both groups must improve. Even if contact effectively changes the attitudes of individual group members, contact cannot have meaningful effects on reducing violent conflict unless these conditions are met.</w:t>
      </w:r>
    </w:p>
    <w:p>
      <w:pPr>
        <w:pStyle w:val="BodyText"/>
      </w:pPr>
      <w:r>
        <w:t xml:space="preserve">These conditions may not be met by groups engaged in violent conflict. First, ingroup members who cooperate with outgroup members may not perceive those outgroup members as typical of the outgroup due to previous negative experiences with outgroup members; consequently, ingroup members may not use interactions with those outgroup members to update their attitudes about the outgroup as a whole. Second, even if contact changes the attitudes of ingroup members who experience contact, norms that affect other ingroup members may not develop. Liking other group hard to link to a positive ingroup trait, like morality. Third, cooperative contact may only improve relations of the more powerful group towards the less powerful group; the less powerful group may perceive themselves as victims of the other group’s injustice.</w:t>
      </w:r>
    </w:p>
    <w:p>
      <w:pPr>
        <w:pStyle w:val="Heading2"/>
      </w:pPr>
      <w:bookmarkStart w:id="22" w:name="X3344ee9a1c7be8c3d3bae73b6bd8fa577e3cf44"/>
      <w:r>
        <w:t xml:space="preserve">How contact can improve relations even amid conflict</w:t>
      </w:r>
      <w:bookmarkEnd w:id="22"/>
    </w:p>
    <w:p>
      <w:pPr>
        <w:pStyle w:val="FirstParagraph"/>
      </w:pPr>
      <w:r>
        <w:t xml:space="preserve">Contact as opportunity to show that intergroup cooperation is materially good for both groups.</w:t>
      </w:r>
    </w:p>
    <w:p>
      <w:pPr>
        <w:pStyle w:val="BodyText"/>
      </w:pPr>
      <w:r>
        <w:t xml:space="preserve">Contact as opportunity to send costly signal of type: trustworthy, fair, hard-working.</w:t>
      </w:r>
    </w:p>
    <w:p>
      <w:pPr>
        <w:pStyle w:val="BodyText"/>
      </w:pPr>
      <w:r>
        <w:t xml:space="preserve">Contact to foster trade?</w:t>
      </w:r>
    </w:p>
    <w:p>
      <w:pPr>
        <w:pStyle w:val="BodyText"/>
      </w:pPr>
      <w:r>
        <w:t xml:space="preserve">Contact to create norm of ingroup policing.</w:t>
      </w:r>
    </w:p>
    <w:p>
      <w:pPr>
        <w:pStyle w:val="BodyText"/>
      </w:pPr>
      <w:r>
        <w:t xml:space="preserve">Contact increases likelihood of peace through negotiation:</w:t>
      </w:r>
      <w:r>
        <w:t xml:space="preserve"> </w:t>
      </w:r>
      <w:r>
        <w:t xml:space="preserve">- opportunity to find bargaining range</w:t>
      </w:r>
      <w:r>
        <w:t xml:space="preserve"> </w:t>
      </w:r>
      <w:r>
        <w:t xml:space="preserve">- opportunity ot build trust that both groups will abide by deal, sanction ingroup members who defect.</w:t>
      </w:r>
    </w:p>
    <w:p>
      <w:pPr>
        <w:pStyle w:val="BodyText"/>
      </w:pPr>
      <w:r>
        <w:t xml:space="preserve">Chris: Remind self not to bring up things I provide no evidence for.</w:t>
      </w:r>
    </w:p>
    <w:p>
      <w:pPr>
        <w:pStyle w:val="Heading2"/>
      </w:pPr>
      <w:bookmarkStart w:id="23" w:name="summary"/>
      <w:r>
        <w:t xml:space="preserve">Summary</w:t>
      </w:r>
      <w:bookmarkEnd w:id="23"/>
    </w:p>
    <w:p>
      <w:pPr>
        <w:pStyle w:val="FirstParagraph"/>
      </w:pPr>
      <w:r>
        <w:t xml:space="preserve">[If needed, summary of argument.]</w:t>
      </w:r>
    </w:p>
    <w:p>
      <w:pPr>
        <w:pStyle w:val="Heading2"/>
      </w:pPr>
      <w:bookmarkStart w:id="24" w:name="hypotheses"/>
      <w:r>
        <w:t xml:space="preserve">Hypotheses</w:t>
      </w:r>
      <w:bookmarkEnd w:id="24"/>
    </w:p>
    <w:p>
      <w:pPr>
        <w:pStyle w:val="FirstParagraph"/>
      </w:pPr>
      <w:r>
        <w:t xml:space="preserve">Separate families of Competing hypotheses.</w:t>
      </w:r>
    </w:p>
    <w:p>
      <w:r>
        <w:pict>
          <v:rect style="width:0;height:1.5pt" o:hralign="center" o:hrstd="t" o:hr="t"/>
        </w:pict>
      </w:r>
    </w:p>
    <w:p>
      <w:pPr>
        <w:pStyle w:val="Heading1"/>
      </w:pPr>
      <w:bookmarkStart w:id="25" w:name="references"/>
      <w:r>
        <w:t xml:space="preserve">References</w:t>
      </w:r>
      <w:bookmarkEnd w:id="25"/>
    </w:p>
    <w:bookmarkStart w:id="37" w:name="refs"/>
    <w:bookmarkStart w:id="26" w:name="ref-allport1954prejudice"/>
    <w:p>
      <w:pPr>
        <w:pStyle w:val="Bibliography"/>
      </w:pPr>
      <w:r>
        <w:t xml:space="preserve">Allport, Gordon. 1954. “The Nature of Prejudice.”</w:t>
      </w:r>
      <w:r>
        <w:t xml:space="preserve"> </w:t>
      </w:r>
      <w:r>
        <w:rPr>
          <w:i/>
        </w:rPr>
        <w:t xml:space="preserve">Garden City, NJ Anchor</w:t>
      </w:r>
      <w:r>
        <w:t xml:space="preserve">.</w:t>
      </w:r>
    </w:p>
    <w:bookmarkEnd w:id="26"/>
    <w:bookmarkStart w:id="27" w:name="ref-broockman2016durably"/>
    <w:p>
      <w:pPr>
        <w:pStyle w:val="Bibliography"/>
      </w:pPr>
      <w:r>
        <w:t xml:space="preserve">Broockman, David, and Joshua Kalla. 2016. “Durably Reducing Transphobia: A Field Experiment on Door-to-Door Canvassing.”</w:t>
      </w:r>
      <w:r>
        <w:t xml:space="preserve"> </w:t>
      </w:r>
      <w:r>
        <w:rPr>
          <w:i/>
        </w:rPr>
        <w:t xml:space="preserve">Science</w:t>
      </w:r>
      <w:r>
        <w:t xml:space="preserve"> </w:t>
      </w:r>
      <w:r>
        <w:t xml:space="preserve">352(6282): 220–24.</w:t>
      </w:r>
    </w:p>
    <w:bookmarkEnd w:id="27"/>
    <w:bookmarkStart w:id="28" w:name="ref-gaertner2014reducing"/>
    <w:p>
      <w:pPr>
        <w:pStyle w:val="Bibliography"/>
      </w:pPr>
      <w:r>
        <w:t xml:space="preserve">Gaertner, Samuel L, and John F Dovidio. 2014.</w:t>
      </w:r>
      <w:r>
        <w:t xml:space="preserve"> </w:t>
      </w:r>
      <w:r>
        <w:rPr>
          <w:i/>
        </w:rPr>
        <w:t xml:space="preserve">Reducing Intergroup Bias: The Common Ingroup Identity Model</w:t>
      </w:r>
      <w:r>
        <w:t xml:space="preserve">. Psychology Press.</w:t>
      </w:r>
    </w:p>
    <w:bookmarkEnd w:id="28"/>
    <w:bookmarkStart w:id="29" w:name="ref-gubler2011diss"/>
    <w:p>
      <w:pPr>
        <w:pStyle w:val="Bibliography"/>
      </w:pPr>
      <w:r>
        <w:t xml:space="preserve">Gubler, Joshua R. 2011. “The Micro-Motives of Intergroup Aggression: A Case Study in Israel.” PhD thesis. University of Michigan.</w:t>
      </w:r>
    </w:p>
    <w:bookmarkEnd w:id="29"/>
    <w:bookmarkStart w:id="30" w:name="ref-kertzer2018empathy"/>
    <w:p>
      <w:pPr>
        <w:pStyle w:val="Bibliography"/>
      </w:pPr>
      <w:r>
        <w:t xml:space="preserve">Kertzer, Joshua D, Ryan Brutger, and Kai Quek. 2018. “Strategic Empathy and the Security Dilemma: Cross-National Experimental Evidence from China and the United States.”</w:t>
      </w:r>
    </w:p>
    <w:bookmarkEnd w:id="30"/>
    <w:bookmarkStart w:id="31" w:name="ref-lee2001mere"/>
    <w:p>
      <w:pPr>
        <w:pStyle w:val="Bibliography"/>
      </w:pPr>
      <w:r>
        <w:t xml:space="preserve">Lee, Angela Y. 2001. “The Mere Exposure Effect: An Uncertainty Reduction Explanation Revisited.”</w:t>
      </w:r>
      <w:r>
        <w:t xml:space="preserve"> </w:t>
      </w:r>
      <w:r>
        <w:rPr>
          <w:i/>
        </w:rPr>
        <w:t xml:space="preserve">Personality and Social Psychology Bulletin</w:t>
      </w:r>
      <w:r>
        <w:t xml:space="preserve"> </w:t>
      </w:r>
      <w:r>
        <w:t xml:space="preserve">27(10): 1255–66.</w:t>
      </w:r>
    </w:p>
    <w:bookmarkEnd w:id="31"/>
    <w:bookmarkStart w:id="32" w:name="ref-page2008little"/>
    <w:p>
      <w:pPr>
        <w:pStyle w:val="Bibliography"/>
      </w:pPr>
      <w:r>
        <w:t xml:space="preserve">Page-Gould, Elizabeth, Rodolfo Mendoza-Denton, and Linda R Tropp. 2008. “With a Little Help from My Cross-Group Friend: Reducing Anxiety in Intergroup Contexts Through Cross-Group Friendship.”</w:t>
      </w:r>
      <w:r>
        <w:t xml:space="preserve"> </w:t>
      </w:r>
      <w:r>
        <w:rPr>
          <w:i/>
        </w:rPr>
        <w:t xml:space="preserve">Journal of personality and social psychology</w:t>
      </w:r>
      <w:r>
        <w:t xml:space="preserve"> </w:t>
      </w:r>
      <w:r>
        <w:t xml:space="preserve">95(5): 1080.</w:t>
      </w:r>
    </w:p>
    <w:bookmarkEnd w:id="32"/>
    <w:bookmarkStart w:id="33" w:name="ref-paolini2010negative"/>
    <w:p>
      <w:pPr>
        <w:pStyle w:val="Bibliography"/>
      </w:pPr>
      <w:r>
        <w:t xml:space="preserve">Paolini, Stefania, Jake Harwood, and Mark Rubin. 2010. “Negative Intergroup Contact Makes Group Memberships Salient: Explaining Why Intergroup Conflict Endures.”</w:t>
      </w:r>
      <w:r>
        <w:t xml:space="preserve"> </w:t>
      </w:r>
      <w:r>
        <w:rPr>
          <w:i/>
        </w:rPr>
        <w:t xml:space="preserve">Personality and Social Psychology Bulletin</w:t>
      </w:r>
      <w:r>
        <w:t xml:space="preserve"> </w:t>
      </w:r>
      <w:r>
        <w:t xml:space="preserve">36(12): 1723–38.</w:t>
      </w:r>
    </w:p>
    <w:bookmarkEnd w:id="33"/>
    <w:bookmarkStart w:id="34" w:name="ref-paolini2004effects"/>
    <w:p>
      <w:pPr>
        <w:pStyle w:val="Bibliography"/>
      </w:pPr>
      <w:r>
        <w:t xml:space="preserve">Paolini, Stefania, Miles Hewstone, Ed Cairns, and Alberto Voci. 2004. “Effects of Direct and Indirect Cross-Group Friendships on Judgments of Catholics and Protestants in Northern Ireland: The Mediating Role of an Anxiety-Reduction Mechanism.”</w:t>
      </w:r>
      <w:r>
        <w:t xml:space="preserve"> </w:t>
      </w:r>
      <w:r>
        <w:rPr>
          <w:i/>
        </w:rPr>
        <w:t xml:space="preserve">Personality and Social Psychology Bulletin</w:t>
      </w:r>
      <w:r>
        <w:t xml:space="preserve"> </w:t>
      </w:r>
      <w:r>
        <w:t xml:space="preserve">30(6): 770–86.</w:t>
      </w:r>
    </w:p>
    <w:bookmarkEnd w:id="34"/>
    <w:bookmarkStart w:id="35" w:name="ref-pettigrew2006meta"/>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90(5): 751.</w:t>
      </w:r>
    </w:p>
    <w:bookmarkEnd w:id="35"/>
    <w:bookmarkStart w:id="36" w:name="ref-pettigrew2008does"/>
    <w:p>
      <w:pPr>
        <w:pStyle w:val="Bibliography"/>
      </w:pPr>
      <w:r>
        <w:t xml:space="preserve">———. 2008. “How Does Intergroup Contact Reduce Prejudice? Meta-Analytic Tests of Three Mediators.”</w:t>
      </w:r>
      <w:r>
        <w:t xml:space="preserve"> </w:t>
      </w:r>
      <w:r>
        <w:rPr>
          <w:i/>
        </w:rPr>
        <w:t xml:space="preserve">European Journal of Social Psychology</w:t>
      </w:r>
      <w:r>
        <w:t xml:space="preserve"> </w:t>
      </w:r>
      <w:r>
        <w:t xml:space="preserve">38(6): 922–34.</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Intergroup Relations Amid Group Conflict: An Intergroup Contact Field Experiment in Nigeria - Theory</dc:title>
  <dc:creator>Christopher Grady, Rebecca Wolfe, Danjuma Dawop, and Lisa Inks</dc:creator>
  <cp:keywords/>
  <dcterms:created xsi:type="dcterms:W3CDTF">2019-11-13T01:15:24Z</dcterms:created>
  <dcterms:modified xsi:type="dcterms:W3CDTF">2019-11-13T01:15:24Z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November 12, 2019</vt:lpwstr>
  </property>
  <property fmtid="{D5CDD505-2E9C-101B-9397-08002B2CF9AE}" pid="5" name="output">
    <vt:lpwstr/>
  </property>
</Properties>
</file>