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Intergroup</w:t>
      </w:r>
      <w:r>
        <w:t xml:space="preserve"> </w:t>
      </w:r>
      <w:r>
        <w:t xml:space="preserve">Contact</w:t>
      </w:r>
      <w:r>
        <w:t xml:space="preserve"> </w:t>
      </w:r>
      <w:r>
        <w:t xml:space="preserve">Amidst</w:t>
      </w:r>
      <w:r>
        <w:t xml:space="preserve"> </w:t>
      </w:r>
      <w:r>
        <w:t xml:space="preserve">Escalating</w:t>
      </w:r>
      <w:r>
        <w:t xml:space="preserve"> </w:t>
      </w:r>
      <w:r>
        <w:t xml:space="preserve">Conflict</w:t>
      </w:r>
      <w:r>
        <w:t xml:space="preserve"> </w:t>
      </w:r>
      <w:r>
        <w:t xml:space="preserve">-</w:t>
      </w:r>
      <w:r>
        <w:t xml:space="preserve"> </w:t>
      </w:r>
      <w:r>
        <w:t xml:space="preserve">Introduction</w:t>
      </w:r>
    </w:p>
    <w:p>
      <w:pPr>
        <w:pStyle w:val="Author"/>
      </w:pPr>
      <w:r>
        <w:t xml:space="preserve">Christopher</w:t>
      </w:r>
      <w:r>
        <w:t xml:space="preserve"> </w:t>
      </w:r>
      <w:r>
        <w:t xml:space="preserve">Grady</w:t>
      </w:r>
    </w:p>
    <w:p>
      <w:pPr>
        <w:pStyle w:val="Date"/>
      </w:pPr>
      <w:r>
        <w:t xml:space="preserve">February</w:t>
      </w:r>
      <w:r>
        <w:t xml:space="preserve"> </w:t>
      </w:r>
      <w:r>
        <w:t xml:space="preserve">11,</w:t>
      </w:r>
      <w:r>
        <w:t xml:space="preserve"> </w:t>
      </w:r>
      <w:r>
        <w:t xml:space="preserve">2019</w:t>
      </w:r>
    </w:p>
    <w:p>
      <w:pPr>
        <w:pStyle w:val="Heading1"/>
      </w:pPr>
      <w:bookmarkStart w:id="21" w:name="introduction"/>
      <w:bookmarkEnd w:id="21"/>
      <w:r>
        <w:t xml:space="preserve">Introduction</w:t>
      </w:r>
    </w:p>
    <w:p>
      <w:pPr>
        <w:pStyle w:val="FirstParagraph"/>
      </w:pPr>
      <w:r>
        <w:t xml:space="preserve">Does intergroup contact reduce prejudice and conflict in contexts of intergroup violence? Direct intergroup contact interventions are often implemented to reduce real-world conflict between groups, and these real-world conflicts are defined by active violence and resource competition. Despite a plethora of research about intergroup contact and widespread use of intergroup contact programs to reduce violent conflict, we have almost no evidence about the effects of intergroup contact in violent contexts or where economic imperatives push groups apart. Can intergroup contact overcome prejudice when the groups are engaged in violent conflict and compete over resources?</w:t>
      </w:r>
    </w:p>
    <w:p>
      <w:pPr>
        <w:pStyle w:val="BodyText"/>
      </w:pPr>
      <w:r>
        <w:t xml:space="preserve">Decades of research demonstrate that intergroup contact can reduce group-level prejudice in a variety of contexts and for a variety of groups. Intergroup contact reduces prejudice towards different racial and ethnic groups</w:t>
      </w:r>
      <w:r>
        <w:t xml:space="preserve"> </w:t>
      </w:r>
      <w:r>
        <w:t xml:space="preserve">(Burns, Corno, and La Ferrara 2015; Katz and Zalk 1978; Marmaros and Sacerdote 2006; Yablon 2012)</w:t>
      </w:r>
      <w:r>
        <w:t xml:space="preserve">, different religious groups</w:t>
      </w:r>
      <w:r>
        <w:t xml:space="preserve"> </w:t>
      </w:r>
      <w:r>
        <w:t xml:space="preserve">(Barnhardt 2009; Scacco and Warren 2016; Yablon 2012)</w:t>
      </w:r>
      <w:r>
        <w:t xml:space="preserve">, women</w:t>
      </w:r>
      <w:r>
        <w:t xml:space="preserve"> </w:t>
      </w:r>
      <w:r>
        <w:t xml:space="preserve">(Finseraas et al. 2016)</w:t>
      </w:r>
      <w:r>
        <w:t xml:space="preserve">, people with physical disabilities</w:t>
      </w:r>
      <w:r>
        <w:t xml:space="preserve"> </w:t>
      </w:r>
      <w:r>
        <w:t xml:space="preserve">(Krahé and Altwasser 2006)</w:t>
      </w:r>
      <w:r>
        <w:t xml:space="preserve">, gay people</w:t>
      </w:r>
      <w:r>
        <w:t xml:space="preserve"> </w:t>
      </w:r>
      <w:r>
        <w:t xml:space="preserve">(Grutzeck and Gidycz 1997)</w:t>
      </w:r>
      <w:r>
        <w:t xml:space="preserve">, and immigrants</w:t>
      </w:r>
      <w:r>
        <w:t xml:space="preserve"> </w:t>
      </w:r>
      <w:r>
        <w:t xml:space="preserve">(Finseraas and Kotsadam 2017)</w:t>
      </w:r>
      <w:r>
        <w:t xml:space="preserve">. The effects of intergroup contact have been demonstrated in a variety of countries and using a variety of methodological approaches</w:t>
      </w:r>
      <w:r>
        <w:t xml:space="preserve"> </w:t>
      </w:r>
      <w:r>
        <w:t xml:space="preserve">(Paluck, Green, and Green 2017; Pettigrew and Tropp 2006)</w:t>
      </w:r>
      <w:r>
        <w:t xml:space="preserve">. The efficacy of intergroup contact to reduce prejudice amidst violent conflict, however, is still an open question. None of these studies involve groups in active conflict or groups competing for resources; few of these studies even involve adults beyond college age.</w:t>
      </w:r>
      <w:r>
        <w:t xml:space="preserve"> </w:t>
      </w:r>
    </w:p>
    <w:p>
      <w:pPr>
        <w:pStyle w:val="BodyText"/>
      </w:pPr>
      <w:r>
        <w:t xml:space="preserve">Active conflict and economic competition could prevent contact’s positive effects, and may even cause contact to increase prejudice, because active conflict and economic competition give group members a material motivation for prejudice and hate. In an active conflict, the groups have materially damaged each other; in economic competition, one group’s gain is the other group’s loss. Both situations are common in conflicts worldwide, but scholars have yet to grapple with how these conditions affect intergroup contact or to test intergroup contact in these conditions. Contact theory suggests that contact should work in these contexts, provided the contact itself is conducted under proper conditions. If the contact allows group members to (i) cooperate towards (ii) common goals in (iii) an equal status context with (iv) the support of authorities, contact should reduce prejudice. Intergroup contact, even when the groups are in conflict and competition, should provide experiences that reduce stereotypes about outgroup members</w:t>
      </w:r>
      <w:r>
        <w:t xml:space="preserve"> </w:t>
      </w:r>
      <w:r>
        <w:t xml:space="preserve">(Allport 1954; Gaertner and Dovidio 2014)</w:t>
      </w:r>
      <w:r>
        <w:t xml:space="preserve">, reduce anxiety and uncertainty towards the outgroup</w:t>
      </w:r>
      <w:r>
        <w:t xml:space="preserve"> </w:t>
      </w:r>
      <w:r>
        <w:t xml:space="preserve">(Lee 2001; Page-Gould, Mendoza-Denton, and Tropp 2008; Paolini et al. 2004)</w:t>
      </w:r>
      <w:r>
        <w:t xml:space="preserve">, and increase empathy towards the outgroup</w:t>
      </w:r>
      <w:r>
        <w:t xml:space="preserve"> </w:t>
      </w:r>
      <w:r>
        <w:t xml:space="preserve">(Broockman and Kalla 2016; Pettigrew and Tropp 2008)</w:t>
      </w:r>
      <w:r>
        <w:t xml:space="preserve">.</w:t>
      </w:r>
    </w:p>
    <w:p>
      <w:pPr>
        <w:pStyle w:val="BodyText"/>
      </w:pPr>
      <w:r>
        <w:t xml:space="preserve">But will contact effectively reduce prejudice when the wider social context promotes it? Other perspectives on intergroup prejudice, like realistic group conflict theory and psychological theories like motivated reasoning and cognitive dissonance, would not predict improved relations from intergroup contact in this context. Intergroup contact does not change the underlying causes of prejudice – competition over indivisible resources – and so will not reduce prejudice</w:t>
      </w:r>
      <w:r>
        <w:t xml:space="preserve"> </w:t>
      </w:r>
      <w:r>
        <w:t xml:space="preserve">(Campbell 1965)</w:t>
      </w:r>
      <w:r>
        <w:t xml:space="preserve">. Nor does intergroup contact change the history of violence that results from outgroup prejudice, feeds outgroup prejudice, and whose justification requires outgroup prejudice. In violent contexts, any intergroup contact could increase prejudice because group members are motivated to interpret intergroup interactions negatively</w:t>
      </w:r>
      <w:r>
        <w:t xml:space="preserve"> </w:t>
      </w:r>
      <w:r>
        <w:t xml:space="preserve">(Klein and Kunda 1992; Paolini, Harwood, and Rubin 2010)</w:t>
      </w:r>
      <w:r>
        <w:t xml:space="preserve">, and the cognitive dissonance generated from even positive intergroup contact may cause a backlash effect that increases prejudice</w:t>
      </w:r>
      <w:r>
        <w:t xml:space="preserve"> </w:t>
      </w:r>
      <w:r>
        <w:t xml:space="preserve">(Gubler 2011)</w:t>
      </w:r>
      <w:r>
        <w:t xml:space="preserve">.</w:t>
      </w:r>
    </w:p>
    <w:p>
      <w:pPr>
        <w:pStyle w:val="BodyText"/>
      </w:pPr>
      <w:r>
        <w:t xml:space="preserve">Farmer-pastoralist conflict in Nigeria’s Middlebelt is an ideal context to learn about the effect of intergroup contact on intergroup attitudes in a conflict environment. As Nigeria’s population expands and arable land recedes, economic imperatives have pushed subsistence farmers and pastoralists into a deadly conflict. Though far more attention is paid towards Boko Haram in Nigeria’s northeast, repercussions of farmer-pastoralist conflict in Nigeria’s Middlebelt are just as significant. The conflict has ravaged Nigeria’s Middlebelt, a mostly rural region considered Nigeria’s breadbasket and home to nearly 100 vibrant peoples and cultures. Farmer-pastoralist violence in the Middlebelt has caused an estimated 60,000 deaths</w:t>
      </w:r>
      <w:r>
        <w:t xml:space="preserve"> </w:t>
      </w:r>
      <w:r>
        <w:t xml:space="preserve">(Obaji 2016)</w:t>
      </w:r>
      <w:r>
        <w:t xml:space="preserve">, hundreds of thousands of internally displaced peoples</w:t>
      </w:r>
      <w:r>
        <w:t xml:space="preserve"> </w:t>
      </w:r>
      <w:r>
        <w:t xml:space="preserve">(Daniel 2018; Shand 2017)</w:t>
      </w:r>
      <w:r>
        <w:t xml:space="preserve">, and $13 billion of lost economic productivity annually</w:t>
      </w:r>
      <w:r>
        <w:t xml:space="preserve"> </w:t>
      </w:r>
      <w:r>
        <w:t xml:space="preserve">(McDougal et al. 2015)</w:t>
      </w:r>
      <w:r>
        <w:t xml:space="preserve">, greatly stressing Nigeria’s economic and social infrastructure. Beyond Nigeria, farmer-pastoralist conflict plagues numerous sub-Saharan African countries, where 60% of the world’s estimated 50-100 million pastoralists live</w:t>
      </w:r>
      <w:r>
        <w:t xml:space="preserve"> </w:t>
      </w:r>
      <w:r>
        <w:t xml:space="preserve">(Omar 1992; Sheik-Mohamed and Velema 1999)</w:t>
      </w:r>
      <w:r>
        <w:t xml:space="preserve">. It’s likely that farmer-pastoralist conflict will become an increasingly large problem as demographic, economic, and climatic trends continue to decrease land availability.</w:t>
      </w:r>
    </w:p>
    <w:p>
      <w:pPr>
        <w:pStyle w:val="BodyText"/>
      </w:pPr>
      <w:r>
        <w:t xml:space="preserve">We conduct a field experiment with farmer and pastoralist communities in two Nigerian states to determine if intergroup contact effectively reduces prejudice between groups in conflict. We identified fifteen sites where farmer and pastoral groups had engaged in violent conflict within the previous twelve months. We then randomly assigned ten of fifteen conflict sites to receive a yearlong peacebuilding program based around intergroup contact called</w:t>
      </w:r>
      <w:r>
        <w:t xml:space="preserve"> </w:t>
      </w:r>
      <w:r>
        <w:rPr>
          <w:i/>
        </w:rPr>
        <w:t xml:space="preserve">Engaging Communities for Peace in Nigeria</w:t>
      </w:r>
      <w:r>
        <w:t xml:space="preserve"> </w:t>
      </w:r>
      <w:r>
        <w:t xml:space="preserve">(ECPN), with the other five sites serving as the control group.</w:t>
      </w:r>
      <w:r>
        <w:rPr>
          <w:rStyle w:val="FootnoteReference"/>
        </w:rPr>
        <w:footnoteReference w:id="22"/>
      </w:r>
      <w:r>
        <w:t xml:space="preserve"> </w:t>
      </w:r>
      <w:r>
        <w:t xml:space="preserve">The program formed committees with equal numbers of farmers and pastoralists, including community leaders from both groups, and tasked them with constructing two infrastructure projects that would benefit both communities: (1) a borehole to increase access to potable water and (2) a project of their choosing, such as a primary health center, a school, or an expanded market building. The intergroup contact via committees was structured to meet the four conditions that</w:t>
      </w:r>
      <w:r>
        <w:t xml:space="preserve"> </w:t>
      </w:r>
      <w:r>
        <w:t xml:space="preserve">Allport (1954)</w:t>
      </w:r>
      <w:r>
        <w:t xml:space="preserve"> </w:t>
      </w:r>
      <w:r>
        <w:t xml:space="preserve">theorized were necessary for intergroup contact to reduce prejudice: two groups (i) cooperating to achieve (ii) joint goals in (iii) an equal status context with (iv) the support of authorities.</w:t>
      </w:r>
    </w:p>
    <w:p>
      <w:pPr>
        <w:pStyle w:val="BodyText"/>
      </w:pPr>
      <w:r>
        <w:t xml:space="preserve">The results of this field experiment demonstrate that intergroup contact can effectively reduce prejudice even in contexts of escalating intergroup violence and even when the groups compete for scarce resources. Communities that received the ECPN program increased their intergroup contact, trust in the outgroup, and perceptions of physical security relative to the control group that received no program. The results also show that contact for a relatively small percentage of a group can affect attitudes of group members with no exogenous increase in contact with the outgroup. We observe the most positive changes from individuals directly involved in the intergroup committees, but we also observe smaller diffusion effects to group members who were not involved in the intergroup contact intervention.</w:t>
      </w:r>
    </w:p>
    <w:p>
      <w:pPr>
        <w:pStyle w:val="BodyText"/>
      </w:pPr>
      <w:r>
        <w:t xml:space="preserve">In this article, we begin by reviewing the literature on intergroup prejudice, focusing on the theory of intergroup contact and highlighting conditions under which contact may be ineffective at reducing prejudice. We then discuss what farmer-pastoralist conflict can teach us about intergroup contact, describe our experimental intervention and two designs to evaluate the effect of the intervention, and present the results of the study. We conclude by connecting these findings to theories of group prejudice.</w:t>
      </w:r>
    </w:p>
    <w:p>
      <w:r>
        <w:pict>
          <v:rect style="width:0;height:1.5pt" o:hralign="center" o:hrstd="t" o:hr="t"/>
        </w:pict>
      </w:r>
    </w:p>
    <w:p>
      <w:pPr>
        <w:pStyle w:val="Heading2"/>
      </w:pPr>
      <w:bookmarkStart w:id="23" w:name="my-thoughts"/>
      <w:bookmarkEnd w:id="23"/>
      <w:r>
        <w:t xml:space="preserve">My Thoughts</w:t>
      </w:r>
    </w:p>
    <w:p>
      <w:pPr>
        <w:pStyle w:val="FirstParagraph"/>
      </w:pPr>
    </w:p>
    <w:p>
      <w:pPr>
        <w:numPr>
          <w:numId w:val="1001"/>
          <w:ilvl w:val="0"/>
        </w:numPr>
      </w:pPr>
      <w:r>
        <w:t xml:space="preserve">Does pitch of why this topic is important sell you?</w:t>
      </w:r>
    </w:p>
    <w:p>
      <w:pPr>
        <w:numPr>
          <w:numId w:val="1001"/>
          <w:ilvl w:val="0"/>
        </w:numPr>
      </w:pPr>
      <w:r>
        <w:t xml:space="preserve">How are paragraph and sentence structures?</w:t>
      </w:r>
    </w:p>
    <w:p>
      <w:pPr>
        <w:numPr>
          <w:numId w:val="1001"/>
          <w:ilvl w:val="0"/>
        </w:numPr>
      </w:pPr>
      <w:r>
        <w:t xml:space="preserve">Better to be able to say a potential mechanism?</w:t>
      </w:r>
      <w:r>
        <w:t xml:space="preserve"> </w:t>
      </w:r>
      <w:r>
        <w:t xml:space="preserve">“</w:t>
      </w:r>
      <w:r>
        <w:t xml:space="preserve">Results suggest that the contact worked by decreasing threat/increasing perceptions of benefit from cooperation/something</w:t>
      </w:r>
      <w:r>
        <w:t xml:space="preserve">”</w:t>
      </w:r>
    </w:p>
    <w:p>
      <w:pPr>
        <w:numPr>
          <w:numId w:val="1001"/>
          <w:ilvl w:val="0"/>
        </w:numPr>
      </w:pPr>
      <w:r>
        <w:t xml:space="preserve">Frame with both violent context + conflict over resources? Does that help by making this broad (union) or hurt by making it too narrow (intersection)</w:t>
      </w:r>
    </w:p>
    <w:p>
      <w:pPr>
        <w:numPr>
          <w:numId w:val="1001"/>
          <w:ilvl w:val="0"/>
        </w:numPr>
      </w:pPr>
      <w:r>
        <w:t xml:space="preserve">Should I/How to better distinguish the cause of conflict (scarce resources) and the consequences of the conflict (history of violence)?</w:t>
      </w:r>
    </w:p>
    <w:p>
      <w:pPr>
        <w:numPr>
          <w:numId w:val="1001"/>
          <w:ilvl w:val="0"/>
        </w:numPr>
      </w:pPr>
      <w:r>
        <w:t xml:space="preserve">Should I discuss rational choice theories here or at all? What are some rational choice theories about conflict?</w:t>
      </w:r>
    </w:p>
    <w:p>
      <w:pPr>
        <w:numPr>
          <w:numId w:val="1001"/>
          <w:ilvl w:val="0"/>
        </w:numPr>
      </w:pPr>
      <w:r>
        <w:t xml:space="preserve">Should I bring up diffusion of contact interventions the fact that we want peacebuilding interventions to affect people who don’t directly participate?</w:t>
      </w:r>
    </w:p>
    <w:p>
      <w:pPr>
        <w:numPr>
          <w:numId w:val="1001"/>
          <w:ilvl w:val="0"/>
        </w:numPr>
      </w:pPr>
      <w:r>
        <w:t xml:space="preserve">Fast and loose with</w:t>
      </w:r>
      <w:r>
        <w:t xml:space="preserve"> </w:t>
      </w:r>
      <w:r>
        <w:t xml:space="preserve">“</w:t>
      </w:r>
      <w:r>
        <w:t xml:space="preserve">reduce conflict and prejudice</w:t>
      </w:r>
      <w:r>
        <w:t xml:space="preserve">”</w:t>
      </w:r>
      <w:r>
        <w:t xml:space="preserve">? Just make it prejudice?</w:t>
      </w:r>
    </w:p>
    <w:p>
      <w:pPr>
        <w:numPr>
          <w:numId w:val="1001"/>
          <w:ilvl w:val="0"/>
        </w:numPr>
      </w:pPr>
      <w:r>
        <w:t xml:space="preserve">The 4 conditions and the (i), (ii), (iii) format I use to list them….</w:t>
      </w:r>
    </w:p>
    <w:p>
      <w:pPr>
        <w:pStyle w:val="Heading1"/>
      </w:pPr>
      <w:bookmarkStart w:id="24" w:name="references"/>
      <w:bookmarkEnd w:id="24"/>
      <w:r>
        <w:t xml:space="preserve">References</w:t>
      </w:r>
    </w:p>
    <w:p>
      <w:pPr>
        <w:pStyle w:val="Bibliography"/>
      </w:pPr>
      <w:r>
        <w:t xml:space="preserve">Allport, Gordon. 1954. “The Nature of Prejudice.”</w:t>
      </w:r>
      <w:r>
        <w:t xml:space="preserve"> </w:t>
      </w:r>
      <w:r>
        <w:rPr>
          <w:i/>
        </w:rPr>
        <w:t xml:space="preserve">Garden City, NJ Anchor</w:t>
      </w:r>
      <w:r>
        <w:t xml:space="preserve">.</w:t>
      </w:r>
    </w:p>
    <w:p>
      <w:pPr>
        <w:pStyle w:val="Bibliography"/>
      </w:pPr>
      <w:r>
        <w:t xml:space="preserve">Barnhardt, Sharon. 2009. “Near and Dear? Evaluating the Impact of Neighbor Diversity on Inter-Religious Attitudes.”</w:t>
      </w:r>
      <w:r>
        <w:t xml:space="preserve"> </w:t>
      </w:r>
      <w:r>
        <w:rPr>
          <w:i/>
        </w:rPr>
        <w:t xml:space="preserve">Unpublished working paper</w:t>
      </w:r>
      <w:r>
        <w:t xml:space="preserve">.</w:t>
      </w:r>
    </w:p>
    <w:p>
      <w:pPr>
        <w:pStyle w:val="Bibliography"/>
      </w:pPr>
      <w:r>
        <w:t xml:space="preserve">Broockman, David, and Joshua Kalla. 2016. “Durably Reducing Transphobia: A Field Experiment on Door-to-Door Canvassing.”</w:t>
      </w:r>
      <w:r>
        <w:t xml:space="preserve"> </w:t>
      </w:r>
      <w:r>
        <w:rPr>
          <w:i/>
        </w:rPr>
        <w:t xml:space="preserve">Science</w:t>
      </w:r>
      <w:r>
        <w:t xml:space="preserve"> </w:t>
      </w:r>
      <w:r>
        <w:t xml:space="preserve">352(6282): 220–24.</w:t>
      </w:r>
    </w:p>
    <w:p>
      <w:pPr>
        <w:pStyle w:val="Bibliography"/>
      </w:pPr>
      <w:r>
        <w:t xml:space="preserve">Burns, Justine, Lucia Corno, and Eliana La Ferrara. 2015.</w:t>
      </w:r>
      <w:r>
        <w:t xml:space="preserve"> </w:t>
      </w:r>
      <w:r>
        <w:rPr>
          <w:i/>
        </w:rPr>
        <w:t xml:space="preserve">Interaction, Prejudice and Performance. Evidence from South Africa</w:t>
      </w:r>
      <w:r>
        <w:t xml:space="preserve">. Working paper.</w:t>
      </w:r>
    </w:p>
    <w:p>
      <w:pPr>
        <w:pStyle w:val="Bibliography"/>
      </w:pPr>
      <w:r>
        <w:t xml:space="preserve">Campbell, Donald T. 1965. “Ethnocentric and Other Altruistic Motives.” In</w:t>
      </w:r>
      <w:r>
        <w:t xml:space="preserve"> </w:t>
      </w:r>
      <w:r>
        <w:rPr>
          <w:i/>
        </w:rPr>
        <w:t xml:space="preserve">Nebraska Symposium on Motivation</w:t>
      </w:r>
      <w:r>
        <w:t xml:space="preserve">, 283–311.</w:t>
      </w:r>
    </w:p>
    <w:p>
      <w:pPr>
        <w:pStyle w:val="Bibliography"/>
      </w:pPr>
      <w:r>
        <w:t xml:space="preserve">Daniel, Soni. 2018. “Anti-Open Grazing Law: Nass, Benue, Kwara, Taraba Tackle Defence Minister.”</w:t>
      </w:r>
      <w:r>
        <w:t xml:space="preserve"> </w:t>
      </w:r>
      <w:r>
        <w:rPr>
          <w:i/>
        </w:rPr>
        <w:t xml:space="preserve">Vanguard</w:t>
      </w:r>
      <w:r>
        <w:t xml:space="preserve">.</w:t>
      </w:r>
    </w:p>
    <w:p>
      <w:pPr>
        <w:pStyle w:val="Bibliography"/>
      </w:pPr>
      <w:r>
        <w:t xml:space="preserve">Finseraas, Henning, and Andreas Kotsadam. 2017. “Does Personal Contact with Ethnic Minorities Affect Anti-Immigrant Sentiments? Evidence from a Field Experiment.”</w:t>
      </w:r>
      <w:r>
        <w:t xml:space="preserve"> </w:t>
      </w:r>
      <w:r>
        <w:rPr>
          <w:i/>
        </w:rPr>
        <w:t xml:space="preserve">European Journal of Political Research</w:t>
      </w:r>
      <w:r>
        <w:t xml:space="preserve"> </w:t>
      </w:r>
      <w:r>
        <w:t xml:space="preserve">56(3): 703–22.</w:t>
      </w:r>
    </w:p>
    <w:p>
      <w:pPr>
        <w:pStyle w:val="Bibliography"/>
      </w:pPr>
      <w:r>
        <w:t xml:space="preserve">Finseraas, Henning, Åshild A Johnsen, Andreas Kotsadam, and Gaute Torsvik. 2016. “Exposure to Female Colleagues Breaks the Glass Ceiling—Evidence from a Combined Vignette and Field Experiment.”</w:t>
      </w:r>
      <w:r>
        <w:t xml:space="preserve"> </w:t>
      </w:r>
      <w:r>
        <w:rPr>
          <w:i/>
        </w:rPr>
        <w:t xml:space="preserve">European Economic Review</w:t>
      </w:r>
      <w:r>
        <w:t xml:space="preserve"> </w:t>
      </w:r>
      <w:r>
        <w:t xml:space="preserve">90: 363–74.</w:t>
      </w:r>
    </w:p>
    <w:p>
      <w:pPr>
        <w:pStyle w:val="Bibliography"/>
      </w:pPr>
      <w:r>
        <w:t xml:space="preserve">Gaertner, Samuel L, and John F Dovidio. 2014.</w:t>
      </w:r>
      <w:r>
        <w:t xml:space="preserve"> </w:t>
      </w:r>
      <w:r>
        <w:rPr>
          <w:i/>
        </w:rPr>
        <w:t xml:space="preserve">Reducing Intergroup Bias: The Common Ingroup Identity Model</w:t>
      </w:r>
      <w:r>
        <w:t xml:space="preserve">. Psychology Press.</w:t>
      </w:r>
    </w:p>
    <w:p>
      <w:pPr>
        <w:pStyle w:val="Bibliography"/>
      </w:pPr>
      <w:r>
        <w:t xml:space="preserve">Grutzeck, Sasha, and Christine A Gidycz. 1997. “The Effects of a Gay and Lesbian Speaker Panel on College Students Attitudes and Behaviors: The Importance of Context Effects.”</w:t>
      </w:r>
      <w:r>
        <w:t xml:space="preserve"> </w:t>
      </w:r>
      <w:r>
        <w:rPr>
          <w:i/>
        </w:rPr>
        <w:t xml:space="preserve">Imagination Cognition and Personality</w:t>
      </w:r>
      <w:r>
        <w:t xml:space="preserve"> </w:t>
      </w:r>
      <w:r>
        <w:t xml:space="preserve">17(1): 65–81.</w:t>
      </w:r>
    </w:p>
    <w:p>
      <w:pPr>
        <w:pStyle w:val="Bibliography"/>
      </w:pPr>
      <w:r>
        <w:t xml:space="preserve">Gubler, Joshua R. 2011. “The Micro-Motives of Intergroup Aggression: A Case Study in Israel.” PhD thesis.</w:t>
      </w:r>
    </w:p>
    <w:p>
      <w:pPr>
        <w:pStyle w:val="Bibliography"/>
      </w:pPr>
      <w:r>
        <w:t xml:space="preserve">Katz, Phyllis A, and Sue R Zalk. 1978. “Modification of Children’s Racial Attitudes.”</w:t>
      </w:r>
      <w:r>
        <w:t xml:space="preserve"> </w:t>
      </w:r>
      <w:r>
        <w:rPr>
          <w:i/>
        </w:rPr>
        <w:t xml:space="preserve">Developmental Psychology</w:t>
      </w:r>
      <w:r>
        <w:t xml:space="preserve"> </w:t>
      </w:r>
      <w:r>
        <w:t xml:space="preserve">14(5): 447.</w:t>
      </w:r>
    </w:p>
    <w:p>
      <w:pPr>
        <w:pStyle w:val="Bibliography"/>
      </w:pPr>
      <w:r>
        <w:t xml:space="preserve">Klein, William M, and Ziva Kunda. 1992. “Motivated Person Perception: Constructing Justifications for Desired Beliefs.”</w:t>
      </w:r>
      <w:r>
        <w:t xml:space="preserve"> </w:t>
      </w:r>
      <w:r>
        <w:rPr>
          <w:i/>
        </w:rPr>
        <w:t xml:space="preserve">Journal of experimental social psychology</w:t>
      </w:r>
      <w:r>
        <w:t xml:space="preserve"> </w:t>
      </w:r>
      <w:r>
        <w:t xml:space="preserve">28(2): 145–68.</w:t>
      </w:r>
    </w:p>
    <w:p>
      <w:pPr>
        <w:pStyle w:val="Bibliography"/>
      </w:pPr>
      <w:r>
        <w:t xml:space="preserve">Krahé, Barbara, and Colette Altwasser. 2006. “Changing Negative Attitudes Towards Persons with Physical Disabilities: An Experimental Intervention.”</w:t>
      </w:r>
      <w:r>
        <w:t xml:space="preserve"> </w:t>
      </w:r>
      <w:r>
        <w:rPr>
          <w:i/>
        </w:rPr>
        <w:t xml:space="preserve">Journal of Community &amp; Applied Social Psychology</w:t>
      </w:r>
      <w:r>
        <w:t xml:space="preserve"> </w:t>
      </w:r>
      <w:r>
        <w:t xml:space="preserve">16(1): 59–69.</w:t>
      </w:r>
    </w:p>
    <w:p>
      <w:pPr>
        <w:pStyle w:val="Bibliography"/>
      </w:pPr>
      <w:r>
        <w:t xml:space="preserve">Lee, Angela Y. 2001. “The Mere Exposure Effect: An Uncertainty Reduction Explanation Revisited.”</w:t>
      </w:r>
      <w:r>
        <w:t xml:space="preserve"> </w:t>
      </w:r>
      <w:r>
        <w:rPr>
          <w:i/>
        </w:rPr>
        <w:t xml:space="preserve">Personality and Social Psychology Bulletin</w:t>
      </w:r>
      <w:r>
        <w:t xml:space="preserve"> </w:t>
      </w:r>
      <w:r>
        <w:t xml:space="preserve">27(10): 1255–66.</w:t>
      </w:r>
    </w:p>
    <w:p>
      <w:pPr>
        <w:pStyle w:val="Bibliography"/>
      </w:pPr>
      <w:r>
        <w:t xml:space="preserve">Marmaros, David, and Bruce Sacerdote. 2006. “How Do Friendships Form?”</w:t>
      </w:r>
      <w:r>
        <w:t xml:space="preserve"> </w:t>
      </w:r>
      <w:r>
        <w:rPr>
          <w:i/>
        </w:rPr>
        <w:t xml:space="preserve">The Quarterly Journal of Economics</w:t>
      </w:r>
      <w:r>
        <w:t xml:space="preserve"> </w:t>
      </w:r>
      <w:r>
        <w:t xml:space="preserve">121(1): 79–119.</w:t>
      </w:r>
    </w:p>
    <w:p>
      <w:pPr>
        <w:pStyle w:val="Bibliography"/>
      </w:pPr>
      <w:r>
        <w:t xml:space="preserve">McDougal, Topher L et al. 2015. “The Effect of Farmer-Pastoralist Violence on Income: New Survey Evidence from Nigeria’s Middle Belt States.”</w:t>
      </w:r>
      <w:r>
        <w:t xml:space="preserve"> </w:t>
      </w:r>
      <w:r>
        <w:rPr>
          <w:i/>
        </w:rPr>
        <w:t xml:space="preserve">Economics of Peace and Security Journal</w:t>
      </w:r>
      <w:r>
        <w:t xml:space="preserve"> </w:t>
      </w:r>
      <w:r>
        <w:t xml:space="preserve">10(1): 54–65.</w:t>
      </w:r>
    </w:p>
    <w:p>
      <w:pPr>
        <w:pStyle w:val="Bibliography"/>
      </w:pPr>
      <w:r>
        <w:t xml:space="preserve">Obaji, Philip Jr. 2016. “The Nigerian War That Has Slaughtered More People Than Boko Haram.”</w:t>
      </w:r>
      <w:r>
        <w:t xml:space="preserve"> </w:t>
      </w:r>
      <w:r>
        <w:rPr>
          <w:i/>
        </w:rPr>
        <w:t xml:space="preserve">The Daily Beast</w:t>
      </w:r>
      <w:r>
        <w:t xml:space="preserve">.</w:t>
      </w:r>
    </w:p>
    <w:p>
      <w:pPr>
        <w:pStyle w:val="Bibliography"/>
      </w:pPr>
      <w:r>
        <w:t xml:space="preserve">Omar, Mayeh A. 1992. “Health Care for Nomads Too, Please.” In</w:t>
      </w:r>
      <w:r>
        <w:t xml:space="preserve"> </w:t>
      </w:r>
      <w:r>
        <w:rPr>
          <w:i/>
        </w:rPr>
        <w:t xml:space="preserve">World Health Forum (Who)</w:t>
      </w:r>
      <w:r>
        <w:t xml:space="preserve">, World Health Organization, 307–10.</w:t>
      </w:r>
    </w:p>
    <w:p>
      <w:pPr>
        <w:pStyle w:val="Bibliography"/>
      </w:pPr>
      <w:r>
        <w:t xml:space="preserve">Page-Gould, Elizabeth, Rodolfo Mendoza-Denton, and Linda R Tropp. 2008. “With a Little Help from My Cross-Group Friend: Reducing Anxiety in Intergroup Contexts Through Cross-Group Friendship.”</w:t>
      </w:r>
      <w:r>
        <w:t xml:space="preserve"> </w:t>
      </w:r>
      <w:r>
        <w:rPr>
          <w:i/>
        </w:rPr>
        <w:t xml:space="preserve">Journal of personality and social psychology</w:t>
      </w:r>
      <w:r>
        <w:t xml:space="preserve"> </w:t>
      </w:r>
      <w:r>
        <w:t xml:space="preserve">95(5): 1080.</w:t>
      </w:r>
    </w:p>
    <w:p>
      <w:pPr>
        <w:pStyle w:val="Bibliography"/>
      </w:pPr>
      <w:r>
        <w:t xml:space="preserve">Paluck, Elizabeth Levy, Seth Green, and Donald P Green. 2017. “The Contact Hypothesis Revisited.”</w:t>
      </w:r>
    </w:p>
    <w:p>
      <w:pPr>
        <w:pStyle w:val="Bibliography"/>
      </w:pPr>
      <w:r>
        <w:t xml:space="preserve">Paolini, Stefania, Jake Harwood, and Mark Rubin. 2010. “Negative Intergroup Contact Makes Group Memberships Salient: Explaining Why Intergroup Conflict Endures.”</w:t>
      </w:r>
      <w:r>
        <w:t xml:space="preserve"> </w:t>
      </w:r>
      <w:r>
        <w:rPr>
          <w:i/>
        </w:rPr>
        <w:t xml:space="preserve">Personality and Social Psychology Bulletin</w:t>
      </w:r>
      <w:r>
        <w:t xml:space="preserve"> </w:t>
      </w:r>
      <w:r>
        <w:t xml:space="preserve">36(12): 1723–38.</w:t>
      </w:r>
    </w:p>
    <w:p>
      <w:pPr>
        <w:pStyle w:val="Bibliography"/>
      </w:pPr>
      <w:r>
        <w:t xml:space="preserve">Paolini, Stefania, Miles Hewstone, Ed Cairns, and Alberto Voci. 2004. “Effects of Direct and Indirect Cross-Group Friendships on Judgments of Catholics and Protestants in Northern Ireland: The Mediating Role of an Anxiety-Reduction Mechanism.”</w:t>
      </w:r>
      <w:r>
        <w:t xml:space="preserve"> </w:t>
      </w:r>
      <w:r>
        <w:rPr>
          <w:i/>
        </w:rPr>
        <w:t xml:space="preserve">Personality and Social Psychology Bulletin</w:t>
      </w:r>
      <w:r>
        <w:t xml:space="preserve"> </w:t>
      </w:r>
      <w:r>
        <w:t xml:space="preserve">30(6): 770–86.</w:t>
      </w:r>
    </w:p>
    <w:p>
      <w:pPr>
        <w:pStyle w:val="Bibliography"/>
      </w:pPr>
      <w:r>
        <w:t xml:space="preserve">Pettigrew, Thomas F, and Linda R Tropp. 2006. “A Meta-Analytic Test of Intergroup Contact Theory.”</w:t>
      </w:r>
      <w:r>
        <w:t xml:space="preserve"> </w:t>
      </w:r>
      <w:r>
        <w:rPr>
          <w:i/>
        </w:rPr>
        <w:t xml:space="preserve">Journal of personality and social psychology</w:t>
      </w:r>
      <w:r>
        <w:t xml:space="preserve"> </w:t>
      </w:r>
      <w:r>
        <w:t xml:space="preserve">90(5): 751.</w:t>
      </w:r>
    </w:p>
    <w:p>
      <w:pPr>
        <w:pStyle w:val="Bibliography"/>
      </w:pPr>
      <w:r>
        <w:t xml:space="preserve">———. 2008. “How Does Intergroup Contact Reduce Prejudice? Meta-Analytic Tests of Three Mediators.”</w:t>
      </w:r>
      <w:r>
        <w:t xml:space="preserve"> </w:t>
      </w:r>
      <w:r>
        <w:rPr>
          <w:i/>
        </w:rPr>
        <w:t xml:space="preserve">European Journal of Social Psychology</w:t>
      </w:r>
      <w:r>
        <w:t xml:space="preserve"> </w:t>
      </w:r>
      <w:r>
        <w:t xml:space="preserve">38(6): 922–34.</w:t>
      </w:r>
    </w:p>
    <w:p>
      <w:pPr>
        <w:pStyle w:val="Bibliography"/>
      </w:pPr>
      <w:r>
        <w:t xml:space="preserve">Scacco, Alexandra, and Shana S Warren. 2016. “Youth Vocational Training and Conflict Mitigation: An Experimental Test of Social Contact Theory in Nigeria.”</w:t>
      </w:r>
    </w:p>
    <w:p>
      <w:pPr>
        <w:pStyle w:val="Bibliography"/>
      </w:pPr>
      <w:r>
        <w:t xml:space="preserve">Shand, Mike. 2017. “Herders Against Farmers: Nigeria’s Expanding Deadly Conflict.”</w:t>
      </w:r>
      <w:r>
        <w:t xml:space="preserve"> </w:t>
      </w:r>
      <w:r>
        <w:rPr>
          <w:i/>
        </w:rPr>
        <w:t xml:space="preserve">International Crisis Group Reports</w:t>
      </w:r>
      <w:r>
        <w:t xml:space="preserve">.</w:t>
      </w:r>
    </w:p>
    <w:p>
      <w:pPr>
        <w:pStyle w:val="Bibliography"/>
      </w:pPr>
      <w:r>
        <w:t xml:space="preserve">Sheik-Mohamed, Abdikarim, and Johan P Velema. 1999. “Where Health Care Has No Access: The Nomadic Populations of Sub-Saharan Africa.”</w:t>
      </w:r>
      <w:r>
        <w:t xml:space="preserve"> </w:t>
      </w:r>
      <w:r>
        <w:rPr>
          <w:i/>
        </w:rPr>
        <w:t xml:space="preserve">Tropical medicine &amp; international health</w:t>
      </w:r>
      <w:r>
        <w:t xml:space="preserve"> </w:t>
      </w:r>
      <w:r>
        <w:t xml:space="preserve">4(10): 695–707.</w:t>
      </w:r>
    </w:p>
    <w:p>
      <w:pPr>
        <w:pStyle w:val="Bibliography"/>
      </w:pPr>
      <w:r>
        <w:t xml:space="preserve">Yablon, Yaacov B. 2012. “Are We Preaching to the Converted? The Role of Motivation in Understanding the Contribution of Intergroup Encounters.”</w:t>
      </w:r>
      <w:r>
        <w:t xml:space="preserve"> </w:t>
      </w:r>
      <w:r>
        <w:rPr>
          <w:i/>
        </w:rPr>
        <w:t xml:space="preserve">Journal of Peace Education</w:t>
      </w:r>
      <w:r>
        <w:t xml:space="preserve"> </w:t>
      </w:r>
      <w:r>
        <w:t xml:space="preserve">9(3): 249–63.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Based on the success of ECPN, Mercy Corps received further funding to implement the peacebuilding program in the control sites</w:t>
      </w:r>
      <w:r>
        <w:t xml:space="preserve"> </w:t>
      </w:r>
      <w:r>
        <w:rPr>
          <w:i/>
        </w:rPr>
        <w:t xml:space="preserve">after</w:t>
      </w:r>
      <w:r>
        <w:t xml:space="preserve"> </w:t>
      </w:r>
      <w:r>
        <w:t xml:space="preserve">the final evaluation of ECPN was completed. The control sites were not informed that they would receive a peacebuilding program during the evaluation.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3f02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a73e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Intergroup Contact Amidst Escalating Conflict - Introduction</dc:title>
  <dc:creator>Christopher Grady</dc:creator>
  <dcterms:created xsi:type="dcterms:W3CDTF">2019-02-12T02:58:20Z</dcterms:created>
  <dcterms:modified xsi:type="dcterms:W3CDTF">2019-02-12T02:58:20Z</dcterms:modified>
</cp:coreProperties>
</file>