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CDC05" w14:textId="23243447" w:rsidR="00317744" w:rsidRDefault="00406695">
      <w:r>
        <w:t xml:space="preserve">Instructions to run the docker container </w:t>
      </w:r>
    </w:p>
    <w:p w14:paraId="3EF6575E" w14:textId="0B82873F" w:rsidR="00406695" w:rsidRDefault="00406695"/>
    <w:p w14:paraId="2D459693" w14:textId="15CE440D" w:rsidR="00406695" w:rsidRDefault="00406695" w:rsidP="00406695">
      <w:pPr>
        <w:pStyle w:val="ListParagraph"/>
        <w:numPr>
          <w:ilvl w:val="0"/>
          <w:numId w:val="1"/>
        </w:numPr>
      </w:pPr>
      <w:r>
        <w:t xml:space="preserve"> </w:t>
      </w:r>
      <w:r>
        <w:t>Pull the Image from Docker Hub</w:t>
      </w:r>
      <w:bookmarkStart w:id="0" w:name="_GoBack"/>
      <w:bookmarkEnd w:id="0"/>
    </w:p>
    <w:p w14:paraId="61AE4DB5" w14:textId="4E691C5E" w:rsidR="00406695" w:rsidRDefault="00406695" w:rsidP="00406695">
      <w:pPr>
        <w:pStyle w:val="ListParagraph"/>
      </w:pPr>
      <w:r>
        <w:t xml:space="preserve">        </w:t>
      </w:r>
      <w:r>
        <w:t>docker pull chamika55/</w:t>
      </w:r>
      <w:proofErr w:type="spellStart"/>
      <w:proofErr w:type="gramStart"/>
      <w:r>
        <w:t>flaskapp:compare</w:t>
      </w:r>
      <w:proofErr w:type="gramEnd"/>
      <w:r>
        <w:t>_strings</w:t>
      </w:r>
      <w:proofErr w:type="spellEnd"/>
    </w:p>
    <w:p w14:paraId="76E7FD74" w14:textId="77777777" w:rsidR="00406695" w:rsidRDefault="00406695" w:rsidP="00406695"/>
    <w:p w14:paraId="3CF35024" w14:textId="6DB61CA9" w:rsidR="00406695" w:rsidRDefault="00406695" w:rsidP="00406695">
      <w:pPr>
        <w:pStyle w:val="ListParagraph"/>
        <w:numPr>
          <w:ilvl w:val="0"/>
          <w:numId w:val="1"/>
        </w:numPr>
      </w:pPr>
      <w:r>
        <w:t xml:space="preserve"> </w:t>
      </w:r>
      <w:r>
        <w:t>Build the docker image</w:t>
      </w:r>
    </w:p>
    <w:p w14:paraId="5D563870" w14:textId="5EEB77DB" w:rsidR="00406695" w:rsidRDefault="00406695" w:rsidP="00406695">
      <w:pPr>
        <w:pStyle w:val="ListParagraph"/>
      </w:pPr>
      <w:r>
        <w:t xml:space="preserve">  docker </w:t>
      </w:r>
      <w:proofErr w:type="gramStart"/>
      <w:r>
        <w:t>build .</w:t>
      </w:r>
      <w:proofErr w:type="gramEnd"/>
      <w:r>
        <w:t xml:space="preserve"> -t chamika55/</w:t>
      </w:r>
      <w:proofErr w:type="spellStart"/>
      <w:r>
        <w:t>flaskapp</w:t>
      </w:r>
      <w:proofErr w:type="spellEnd"/>
      <w:r>
        <w:t xml:space="preserve"> </w:t>
      </w:r>
    </w:p>
    <w:p w14:paraId="4FC005D7" w14:textId="77777777" w:rsidR="00406695" w:rsidRDefault="00406695" w:rsidP="00406695"/>
    <w:p w14:paraId="14ACEB31" w14:textId="77777777" w:rsidR="00406695" w:rsidRDefault="00406695" w:rsidP="00406695">
      <w:pPr>
        <w:pStyle w:val="ListParagraph"/>
      </w:pPr>
    </w:p>
    <w:p w14:paraId="48C7615C" w14:textId="4F3FA47A" w:rsidR="00406695" w:rsidRDefault="00406695" w:rsidP="00406695">
      <w:pPr>
        <w:pStyle w:val="ListParagraph"/>
        <w:numPr>
          <w:ilvl w:val="0"/>
          <w:numId w:val="1"/>
        </w:numPr>
      </w:pPr>
      <w:r>
        <w:t xml:space="preserve"> </w:t>
      </w:r>
      <w:r>
        <w:t>Run the following commands</w:t>
      </w:r>
    </w:p>
    <w:p w14:paraId="1B647DAB" w14:textId="77777777" w:rsidR="00406695" w:rsidRDefault="00406695" w:rsidP="00406695">
      <w:pPr>
        <w:pStyle w:val="ListParagraph"/>
      </w:pPr>
    </w:p>
    <w:p w14:paraId="23EEE6DB" w14:textId="7935CB94" w:rsidR="00406695" w:rsidRDefault="00406695" w:rsidP="00406695">
      <w:pPr>
        <w:pStyle w:val="ListParagraph"/>
      </w:pPr>
      <w:r>
        <w:t xml:space="preserve"> </w:t>
      </w:r>
      <w:r>
        <w:t>docker run -it -d -p 5000:5000 chamika55/</w:t>
      </w:r>
      <w:proofErr w:type="spellStart"/>
      <w:r>
        <w:t>flaskapp</w:t>
      </w:r>
      <w:proofErr w:type="spellEnd"/>
    </w:p>
    <w:p w14:paraId="298B240D" w14:textId="1FCFF164" w:rsidR="00406695" w:rsidRDefault="00406695" w:rsidP="00406695">
      <w:pPr>
        <w:pStyle w:val="ListParagraph"/>
      </w:pPr>
      <w:r>
        <w:t xml:space="preserve"> docker run chamika55/</w:t>
      </w:r>
      <w:proofErr w:type="spellStart"/>
      <w:r>
        <w:t>flaskapp</w:t>
      </w:r>
      <w:proofErr w:type="spellEnd"/>
    </w:p>
    <w:p w14:paraId="076C504A" w14:textId="6150DAE2" w:rsidR="00406695" w:rsidRDefault="00406695" w:rsidP="00406695">
      <w:pPr>
        <w:pStyle w:val="ListParagraph"/>
      </w:pPr>
    </w:p>
    <w:p w14:paraId="484390D1" w14:textId="002BA89B" w:rsidR="00406695" w:rsidRDefault="00406695" w:rsidP="00406695">
      <w:pPr>
        <w:pStyle w:val="ListParagraph"/>
        <w:numPr>
          <w:ilvl w:val="0"/>
          <w:numId w:val="1"/>
        </w:numPr>
      </w:pPr>
      <w:r>
        <w:t xml:space="preserve">I used Postman to test the API, </w:t>
      </w:r>
      <w:r w:rsidR="00B95F58">
        <w:t>please</w:t>
      </w:r>
      <w:r w:rsidR="00BC0012">
        <w:t xml:space="preserve"> refer to the screenshot below. </w:t>
      </w:r>
      <w:r w:rsidR="00B95F58">
        <w:t xml:space="preserve">Once you send the </w:t>
      </w:r>
      <w:proofErr w:type="gramStart"/>
      <w:r w:rsidR="00B95F58">
        <w:t>JSON ,</w:t>
      </w:r>
      <w:proofErr w:type="gramEnd"/>
      <w:r w:rsidR="00B95F58">
        <w:t xml:space="preserve"> “similarity” value will return along with the strings. </w:t>
      </w:r>
    </w:p>
    <w:p w14:paraId="49B9C5C6" w14:textId="76E52BBF" w:rsidR="00D31A51" w:rsidRDefault="00D31A51" w:rsidP="00D31A51">
      <w:pPr>
        <w:pStyle w:val="ListParagraph"/>
      </w:pPr>
    </w:p>
    <w:p w14:paraId="50CC3107" w14:textId="57815DC6" w:rsidR="00D31A51" w:rsidRDefault="00D31A51" w:rsidP="00D31A51">
      <w:pPr>
        <w:pStyle w:val="ListParagraph"/>
      </w:pPr>
    </w:p>
    <w:p w14:paraId="1EAE137A" w14:textId="780CBBDC" w:rsidR="00406695" w:rsidRDefault="00406695" w:rsidP="00406695"/>
    <w:p w14:paraId="1B8FEE2C" w14:textId="6F994660" w:rsidR="00406695" w:rsidRDefault="00406695" w:rsidP="00406695">
      <w:r>
        <w:rPr>
          <w:noProof/>
        </w:rPr>
        <w:drawing>
          <wp:inline distT="0" distB="0" distL="0" distR="0" wp14:anchorId="662DCBD5" wp14:editId="0593C098">
            <wp:extent cx="5943600" cy="3297347"/>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8 at 2.17.53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7347"/>
                    </a:xfrm>
                    <a:prstGeom prst="rect">
                      <a:avLst/>
                    </a:prstGeom>
                  </pic:spPr>
                </pic:pic>
              </a:graphicData>
            </a:graphic>
          </wp:inline>
        </w:drawing>
      </w:r>
    </w:p>
    <w:p w14:paraId="46316697" w14:textId="10502B0A" w:rsidR="00406695" w:rsidRDefault="00406695" w:rsidP="00406695">
      <w:r>
        <w:t xml:space="preserve">            </w:t>
      </w:r>
    </w:p>
    <w:p w14:paraId="6E8FCB5D" w14:textId="1D79997C" w:rsidR="00406695" w:rsidRDefault="00406695" w:rsidP="00406695"/>
    <w:p w14:paraId="5D01F6B2" w14:textId="431C1481" w:rsidR="00406695" w:rsidRDefault="00406695" w:rsidP="00406695">
      <w:r>
        <w:t xml:space="preserve">  Use the following URI to access the API endpoint </w:t>
      </w:r>
    </w:p>
    <w:p w14:paraId="23C9F8A1" w14:textId="55211163" w:rsidR="00406695" w:rsidRDefault="00406695" w:rsidP="00406695">
      <w:pPr>
        <w:rPr>
          <w:rFonts w:ascii="Helvetica" w:eastAsia="Times New Roman" w:hAnsi="Helvetica" w:cs="Times New Roman"/>
          <w:color w:val="505050"/>
          <w:sz w:val="20"/>
          <w:szCs w:val="20"/>
          <w:shd w:val="clear" w:color="auto" w:fill="FFFFFF"/>
        </w:rPr>
      </w:pPr>
      <w:r>
        <w:rPr>
          <w:rFonts w:ascii="Helvetica" w:eastAsia="Times New Roman" w:hAnsi="Helvetica" w:cs="Times New Roman"/>
          <w:color w:val="505050"/>
          <w:sz w:val="18"/>
          <w:szCs w:val="18"/>
          <w:shd w:val="clear" w:color="auto" w:fill="FFFFFF"/>
        </w:rPr>
        <w:t xml:space="preserve">              </w:t>
      </w:r>
      <w:hyperlink r:id="rId6" w:history="1">
        <w:r w:rsidRPr="00406695">
          <w:rPr>
            <w:rStyle w:val="Hyperlink"/>
            <w:rFonts w:ascii="Helvetica" w:eastAsia="Times New Roman" w:hAnsi="Helvetica" w:cs="Times New Roman"/>
            <w:sz w:val="20"/>
            <w:szCs w:val="20"/>
            <w:u w:val="none"/>
            <w:shd w:val="clear" w:color="auto" w:fill="FFFFFF"/>
          </w:rPr>
          <w:t>http://127.0.0.1:5000/comapre_strings</w:t>
        </w:r>
      </w:hyperlink>
    </w:p>
    <w:p w14:paraId="70A4D323" w14:textId="7E44DAD3" w:rsidR="00BC0012" w:rsidRDefault="00BC0012" w:rsidP="00406695">
      <w:pPr>
        <w:rPr>
          <w:rFonts w:ascii="Helvetica" w:eastAsia="Times New Roman" w:hAnsi="Helvetica" w:cs="Times New Roman"/>
          <w:color w:val="505050"/>
          <w:sz w:val="20"/>
          <w:szCs w:val="20"/>
          <w:shd w:val="clear" w:color="auto" w:fill="FFFFFF"/>
        </w:rPr>
      </w:pPr>
    </w:p>
    <w:p w14:paraId="328BCD42" w14:textId="384E3984" w:rsidR="00BC0012" w:rsidRDefault="00BC0012" w:rsidP="00406695">
      <w:pPr>
        <w:rPr>
          <w:rFonts w:ascii="Helvetica" w:eastAsia="Times New Roman" w:hAnsi="Helvetica" w:cs="Times New Roman"/>
          <w:color w:val="505050"/>
          <w:sz w:val="20"/>
          <w:szCs w:val="20"/>
          <w:shd w:val="clear" w:color="auto" w:fill="FFFFFF"/>
        </w:rPr>
      </w:pPr>
    </w:p>
    <w:p w14:paraId="2C013CF2" w14:textId="77777777" w:rsidR="00BC0012" w:rsidRPr="00406695" w:rsidRDefault="00BC0012" w:rsidP="00406695">
      <w:pPr>
        <w:rPr>
          <w:rFonts w:ascii="Helvetica" w:eastAsia="Times New Roman" w:hAnsi="Helvetica" w:cs="Times New Roman"/>
          <w:color w:val="505050"/>
          <w:sz w:val="20"/>
          <w:szCs w:val="20"/>
          <w:shd w:val="clear" w:color="auto" w:fill="FFFFFF"/>
        </w:rPr>
      </w:pPr>
    </w:p>
    <w:p w14:paraId="4F0306B4" w14:textId="330E7842" w:rsidR="00406695" w:rsidRDefault="00406695" w:rsidP="00406695">
      <w:pPr>
        <w:rPr>
          <w:rFonts w:ascii="Helvetica" w:eastAsia="Times New Roman" w:hAnsi="Helvetica" w:cs="Times New Roman"/>
          <w:color w:val="505050"/>
          <w:sz w:val="20"/>
          <w:szCs w:val="20"/>
          <w:shd w:val="clear" w:color="auto" w:fill="FFFFFF"/>
        </w:rPr>
      </w:pPr>
    </w:p>
    <w:p w14:paraId="4D28403C" w14:textId="1C3529D9" w:rsidR="00406695" w:rsidRDefault="00406695" w:rsidP="00406695">
      <w:pPr>
        <w:rPr>
          <w:rFonts w:ascii="Helvetica" w:eastAsia="Times New Roman" w:hAnsi="Helvetica" w:cs="Times New Roman"/>
          <w:color w:val="505050"/>
          <w:sz w:val="20"/>
          <w:szCs w:val="20"/>
          <w:shd w:val="clear" w:color="auto" w:fill="FFFFFF"/>
        </w:rPr>
      </w:pPr>
    </w:p>
    <w:p w14:paraId="3E931A76" w14:textId="5708137A" w:rsidR="00406695" w:rsidRDefault="00406695" w:rsidP="00406695">
      <w:pPr>
        <w:rPr>
          <w:rFonts w:ascii="Helvetica" w:eastAsia="Times New Roman" w:hAnsi="Helvetica" w:cs="Times New Roman"/>
          <w:color w:val="505050"/>
          <w:sz w:val="20"/>
          <w:szCs w:val="20"/>
          <w:shd w:val="clear" w:color="auto" w:fill="FFFFFF"/>
        </w:rPr>
      </w:pPr>
      <w:r>
        <w:rPr>
          <w:rFonts w:ascii="Helvetica" w:eastAsia="Times New Roman" w:hAnsi="Helvetica" w:cs="Times New Roman"/>
          <w:color w:val="505050"/>
          <w:sz w:val="20"/>
          <w:szCs w:val="20"/>
          <w:shd w:val="clear" w:color="auto" w:fill="FFFFFF"/>
        </w:rPr>
        <w:t>Sample JSON payload</w:t>
      </w:r>
    </w:p>
    <w:p w14:paraId="6BE0076F" w14:textId="0C8A1E8B" w:rsidR="00406695" w:rsidRDefault="00406695" w:rsidP="00406695">
      <w:pPr>
        <w:rPr>
          <w:rFonts w:ascii="Helvetica" w:eastAsia="Times New Roman" w:hAnsi="Helvetica" w:cs="Times New Roman"/>
          <w:color w:val="505050"/>
          <w:sz w:val="20"/>
          <w:szCs w:val="20"/>
          <w:shd w:val="clear" w:color="auto" w:fill="FFFFFF"/>
        </w:rPr>
      </w:pPr>
    </w:p>
    <w:p w14:paraId="1650DE50" w14:textId="77777777" w:rsidR="00406695" w:rsidRPr="00406695" w:rsidRDefault="00406695" w:rsidP="00406695">
      <w:pPr>
        <w:rPr>
          <w:rFonts w:eastAsia="Times New Roman" w:cstheme="minorHAnsi"/>
          <w:i/>
          <w:iCs/>
          <w:sz w:val="20"/>
          <w:szCs w:val="20"/>
        </w:rPr>
      </w:pPr>
      <w:r w:rsidRPr="00406695">
        <w:rPr>
          <w:rFonts w:eastAsia="Times New Roman" w:cstheme="minorHAnsi"/>
          <w:i/>
          <w:iCs/>
          <w:sz w:val="20"/>
          <w:szCs w:val="20"/>
        </w:rPr>
        <w:t>{</w:t>
      </w:r>
    </w:p>
    <w:p w14:paraId="376D5F75" w14:textId="77777777" w:rsidR="00406695" w:rsidRPr="00406695" w:rsidRDefault="00406695" w:rsidP="00406695">
      <w:pPr>
        <w:rPr>
          <w:rFonts w:eastAsia="Times New Roman" w:cstheme="minorHAnsi"/>
          <w:i/>
          <w:iCs/>
          <w:sz w:val="20"/>
          <w:szCs w:val="20"/>
        </w:rPr>
      </w:pPr>
      <w:r w:rsidRPr="00406695">
        <w:rPr>
          <w:rFonts w:eastAsia="Times New Roman" w:cstheme="minorHAnsi"/>
          <w:i/>
          <w:iCs/>
          <w:sz w:val="20"/>
          <w:szCs w:val="20"/>
        </w:rPr>
        <w:t xml:space="preserve">    "string1": "The easiest way to earn points with Fetch Rewards is to just shop for the products you already love. If you have any participating brands on your receipt, you'll get points based on the cost of the products. You don't need to clip any coupons or scan individual barcodes. Just scan each grocery receipt after you shop and we'll find the savings for you",</w:t>
      </w:r>
    </w:p>
    <w:p w14:paraId="79F3CE69" w14:textId="77777777" w:rsidR="00406695" w:rsidRPr="00406695" w:rsidRDefault="00406695" w:rsidP="00406695">
      <w:pPr>
        <w:rPr>
          <w:rFonts w:eastAsia="Times New Roman" w:cstheme="minorHAnsi"/>
          <w:i/>
          <w:iCs/>
          <w:sz w:val="20"/>
          <w:szCs w:val="20"/>
        </w:rPr>
      </w:pPr>
      <w:r w:rsidRPr="00406695">
        <w:rPr>
          <w:rFonts w:eastAsia="Times New Roman" w:cstheme="minorHAnsi"/>
          <w:i/>
          <w:iCs/>
          <w:sz w:val="20"/>
          <w:szCs w:val="20"/>
        </w:rPr>
        <w:t xml:space="preserve">    "string2": "The easiest way to earn points with Fetch Rewards is to just shop for the items you already buy. If you have any eligible brands on your receipt, you will get points based on the total cost of the products. You do not need to cut out any coupons or scan individual UPCs. Just scan your receipt after you check out and we will find the savings for you",</w:t>
      </w:r>
    </w:p>
    <w:p w14:paraId="19429A38" w14:textId="77777777" w:rsidR="00406695" w:rsidRPr="00406695" w:rsidRDefault="00406695" w:rsidP="00406695">
      <w:pPr>
        <w:rPr>
          <w:rFonts w:eastAsia="Times New Roman" w:cstheme="minorHAnsi"/>
          <w:i/>
          <w:iCs/>
          <w:sz w:val="20"/>
          <w:szCs w:val="20"/>
        </w:rPr>
      </w:pPr>
      <w:r w:rsidRPr="00406695">
        <w:rPr>
          <w:rFonts w:eastAsia="Times New Roman" w:cstheme="minorHAnsi"/>
          <w:i/>
          <w:iCs/>
          <w:sz w:val="20"/>
          <w:szCs w:val="20"/>
        </w:rPr>
        <w:t xml:space="preserve">    "</w:t>
      </w:r>
      <w:proofErr w:type="spellStart"/>
      <w:r w:rsidRPr="00406695">
        <w:rPr>
          <w:rFonts w:eastAsia="Times New Roman" w:cstheme="minorHAnsi"/>
          <w:i/>
          <w:iCs/>
          <w:sz w:val="20"/>
          <w:szCs w:val="20"/>
        </w:rPr>
        <w:t>order_of_words</w:t>
      </w:r>
      <w:proofErr w:type="spellEnd"/>
      <w:r w:rsidRPr="00406695">
        <w:rPr>
          <w:rFonts w:eastAsia="Times New Roman" w:cstheme="minorHAnsi"/>
          <w:i/>
          <w:iCs/>
          <w:sz w:val="20"/>
          <w:szCs w:val="20"/>
        </w:rPr>
        <w:t>": "False"</w:t>
      </w:r>
    </w:p>
    <w:p w14:paraId="29C27FA8" w14:textId="6C5DF028" w:rsidR="00406695" w:rsidRPr="00406695" w:rsidRDefault="00406695" w:rsidP="00406695">
      <w:pPr>
        <w:rPr>
          <w:rFonts w:eastAsia="Times New Roman" w:cstheme="minorHAnsi"/>
          <w:i/>
          <w:iCs/>
          <w:sz w:val="20"/>
          <w:szCs w:val="20"/>
        </w:rPr>
      </w:pPr>
      <w:r w:rsidRPr="00406695">
        <w:rPr>
          <w:rFonts w:eastAsia="Times New Roman" w:cstheme="minorHAnsi"/>
          <w:i/>
          <w:iCs/>
          <w:sz w:val="20"/>
          <w:szCs w:val="20"/>
        </w:rPr>
        <w:t>}</w:t>
      </w:r>
    </w:p>
    <w:p w14:paraId="6AD32BE2" w14:textId="424778F5" w:rsidR="00406695" w:rsidRDefault="00406695" w:rsidP="00406695">
      <w:pPr>
        <w:rPr>
          <w:rFonts w:ascii="Times New Roman" w:eastAsia="Times New Roman" w:hAnsi="Times New Roman" w:cs="Times New Roman"/>
          <w:sz w:val="20"/>
          <w:szCs w:val="20"/>
        </w:rPr>
      </w:pPr>
    </w:p>
    <w:p w14:paraId="4AF83295" w14:textId="2EB96754" w:rsidR="00406695" w:rsidRDefault="00406695" w:rsidP="00406695">
      <w:pPr>
        <w:rPr>
          <w:rFonts w:ascii="Times New Roman" w:eastAsia="Times New Roman" w:hAnsi="Times New Roman" w:cs="Times New Roman"/>
          <w:sz w:val="20"/>
          <w:szCs w:val="20"/>
        </w:rPr>
      </w:pPr>
    </w:p>
    <w:p w14:paraId="1F6AB8E9" w14:textId="77777777" w:rsidR="00406695" w:rsidRDefault="00406695" w:rsidP="00406695">
      <w:pPr>
        <w:rPr>
          <w:rFonts w:eastAsia="Times New Roman" w:cstheme="minorHAnsi"/>
          <w:sz w:val="22"/>
          <w:szCs w:val="22"/>
        </w:rPr>
      </w:pPr>
      <w:r w:rsidRPr="00406695">
        <w:rPr>
          <w:rFonts w:eastAsia="Times New Roman" w:cstheme="minorHAnsi"/>
          <w:sz w:val="22"/>
          <w:szCs w:val="22"/>
        </w:rPr>
        <w:t>You can use different</w:t>
      </w:r>
      <w:r>
        <w:rPr>
          <w:rFonts w:eastAsia="Times New Roman" w:cstheme="minorHAnsi"/>
          <w:sz w:val="22"/>
          <w:szCs w:val="22"/>
        </w:rPr>
        <w:t xml:space="preserve"> string to compare by changing “string1” and “string2” value.</w:t>
      </w:r>
    </w:p>
    <w:p w14:paraId="19BDDC42" w14:textId="5B3584A7" w:rsidR="00406695" w:rsidRPr="00406695" w:rsidRDefault="00406695" w:rsidP="00406695">
      <w:pPr>
        <w:rPr>
          <w:rFonts w:eastAsia="Times New Roman" w:cstheme="minorHAnsi"/>
          <w:sz w:val="22"/>
          <w:szCs w:val="22"/>
        </w:rPr>
      </w:pPr>
      <w:r>
        <w:rPr>
          <w:rFonts w:eastAsia="Times New Roman" w:cstheme="minorHAnsi"/>
          <w:sz w:val="22"/>
          <w:szCs w:val="22"/>
        </w:rPr>
        <w:t xml:space="preserve">If you want to check the similarity by the ordering of </w:t>
      </w:r>
      <w:proofErr w:type="gramStart"/>
      <w:r>
        <w:rPr>
          <w:rFonts w:eastAsia="Times New Roman" w:cstheme="minorHAnsi"/>
          <w:sz w:val="22"/>
          <w:szCs w:val="22"/>
        </w:rPr>
        <w:t>words ,</w:t>
      </w:r>
      <w:proofErr w:type="gramEnd"/>
      <w:r>
        <w:rPr>
          <w:rFonts w:eastAsia="Times New Roman" w:cstheme="minorHAnsi"/>
          <w:sz w:val="22"/>
          <w:szCs w:val="22"/>
        </w:rPr>
        <w:t xml:space="preserve"> make “</w:t>
      </w:r>
      <w:proofErr w:type="spellStart"/>
      <w:r>
        <w:rPr>
          <w:rFonts w:eastAsia="Times New Roman" w:cstheme="minorHAnsi"/>
          <w:sz w:val="22"/>
          <w:szCs w:val="22"/>
        </w:rPr>
        <w:t>order_of_words</w:t>
      </w:r>
      <w:proofErr w:type="spellEnd"/>
      <w:r>
        <w:rPr>
          <w:rFonts w:eastAsia="Times New Roman" w:cstheme="minorHAnsi"/>
          <w:sz w:val="22"/>
          <w:szCs w:val="22"/>
        </w:rPr>
        <w:t>” value as “True”</w:t>
      </w:r>
      <w:r w:rsidR="00B95F58">
        <w:rPr>
          <w:rFonts w:eastAsia="Times New Roman" w:cstheme="minorHAnsi"/>
          <w:sz w:val="22"/>
          <w:szCs w:val="22"/>
        </w:rPr>
        <w:t>, else “False”.</w:t>
      </w:r>
    </w:p>
    <w:p w14:paraId="274B812A" w14:textId="77777777" w:rsidR="00406695" w:rsidRDefault="00406695" w:rsidP="00406695"/>
    <w:sectPr w:rsidR="00406695" w:rsidSect="00AD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36EF9"/>
    <w:multiLevelType w:val="hybridMultilevel"/>
    <w:tmpl w:val="773C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95"/>
    <w:rsid w:val="00406695"/>
    <w:rsid w:val="00AD09BC"/>
    <w:rsid w:val="00B95F58"/>
    <w:rsid w:val="00BC0012"/>
    <w:rsid w:val="00D31A51"/>
    <w:rsid w:val="00DA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5B544"/>
  <w15:chartTrackingRefBased/>
  <w15:docId w15:val="{6459504A-5622-0D42-AF1B-FDF5CC22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95"/>
    <w:pPr>
      <w:ind w:left="720"/>
      <w:contextualSpacing/>
    </w:pPr>
  </w:style>
  <w:style w:type="character" w:styleId="Hyperlink">
    <w:name w:val="Hyperlink"/>
    <w:basedOn w:val="DefaultParagraphFont"/>
    <w:uiPriority w:val="99"/>
    <w:unhideWhenUsed/>
    <w:rsid w:val="00406695"/>
    <w:rPr>
      <w:color w:val="0563C1" w:themeColor="hyperlink"/>
      <w:u w:val="single"/>
    </w:rPr>
  </w:style>
  <w:style w:type="character" w:styleId="UnresolvedMention">
    <w:name w:val="Unresolved Mention"/>
    <w:basedOn w:val="DefaultParagraphFont"/>
    <w:uiPriority w:val="99"/>
    <w:semiHidden/>
    <w:unhideWhenUsed/>
    <w:rsid w:val="00406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comapre_string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Dharmasena, Chamikara J</dc:creator>
  <cp:keywords/>
  <dc:description/>
  <cp:lastModifiedBy>Dharmasena, Chamikara J</cp:lastModifiedBy>
  <cp:revision>4</cp:revision>
  <dcterms:created xsi:type="dcterms:W3CDTF">2020-01-28T08:14:00Z</dcterms:created>
  <dcterms:modified xsi:type="dcterms:W3CDTF">2020-01-28T08:28:00Z</dcterms:modified>
</cp:coreProperties>
</file>