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suggested-skeleton-v4-reference-only"/>
    <w:p>
      <w:pPr>
        <w:pStyle w:val="Heading1"/>
      </w:pPr>
      <w:r>
        <w:t xml:space="preserve">Suggested skeleton v4 (reference only)</w:t>
      </w:r>
    </w:p>
    <w:p>
      <w:pPr>
        <w:pStyle w:val="FirstParagraph"/>
      </w:pPr>
      <w:r>
        <w:rPr>
          <w:iCs/>
          <w:i/>
        </w:rPr>
        <w:t xml:space="preserve">Prepared by Claude on 9 October 2026 from your v3 skeleton, with the corrections in the</w:t>
      </w:r>
      <w:r>
        <w:rPr>
          <w:iCs/>
          <w:i/>
        </w:rPr>
        <w:t xml:space="preserve"> </w:t>
      </w:r>
      <w:r>
        <w:rPr>
          <w:iCs/>
          <w:i/>
        </w:rPr>
        <w:t xml:space="preserve">“</w:t>
      </w:r>
      <w:r>
        <w:rPr>
          <w:iCs/>
          <w:i/>
        </w:rPr>
        <w:t xml:space="preserve">concerns</w:t>
      </w:r>
      <w:r>
        <w:rPr>
          <w:iCs/>
          <w:i/>
        </w:rPr>
        <w:t xml:space="preserve">”</w:t>
      </w:r>
      <w:r>
        <w:rPr>
          <w:iCs/>
          <w:i/>
        </w:rPr>
        <w:t xml:space="preserve"> </w:t>
      </w:r>
      <w:r>
        <w:rPr>
          <w:iCs/>
          <w:i/>
        </w:rPr>
        <w:t xml:space="preserve">branch applied.</w:t>
      </w:r>
      <w:r>
        <w:rPr>
          <w:iCs/>
          <w:i/>
        </w:rPr>
        <w:t xml:space="preserve"> </w:t>
      </w:r>
      <w:r>
        <w:rPr>
          <w:bCs/>
          <w:b/>
          <w:iCs/>
          <w:i/>
        </w:rPr>
        <w:t xml:space="preserve">Do not submit this text.</w:t>
      </w:r>
      <w:r>
        <w:rPr>
          <w:iCs/>
          <w:i/>
        </w:rPr>
        <w:t xml:space="preserve"> </w:t>
      </w:r>
      <w:r>
        <w:rPr>
          <w:iCs/>
          <w:i/>
        </w:rPr>
        <w:t xml:space="preserve">The brief forbids AI-produced content in formative or summative work. Use it to check the structure of your own plan, then write the plan in your own words. The plan format follows the Session 3 tutorial: informative headings, 3–5 bullets per section, figures described under their heading, and no sources in the plan.</w:t>
      </w:r>
    </w:p>
    <w:p>
      <w:pPr>
        <w:pStyle w:val="BodyText"/>
      </w:pPr>
      <w:r>
        <w:rPr>
          <w:bCs/>
          <w:b/>
        </w:rPr>
        <w:t xml:space="preserve">Title:</w:t>
      </w:r>
      <w:r>
        <w:t xml:space="preserve"> </w:t>
      </w:r>
      <w:r>
        <w:t xml:space="preserve">The Mediterranean diet as an alternative for the management of inflammatory bowel diseases</w:t>
      </w:r>
    </w:p>
    <w:p>
      <w:r>
        <w:pict>
          <v:rect style="width:0;height:1.5pt" o:hralign="center" o:hrstd="t" o:hr="t"/>
        </w:pict>
      </w:r>
    </w:p>
    <w:bookmarkStart w:id="20" w:name="introduction"/>
    <w:p>
      <w:pPr>
        <w:pStyle w:val="Heading3"/>
      </w:pPr>
      <w:r>
        <w:t xml:space="preserve">1. Introduction</w:t>
      </w:r>
    </w:p>
    <w:p>
      <w:pPr>
        <w:numPr>
          <w:ilvl w:val="0"/>
          <w:numId w:val="1001"/>
        </w:numPr>
        <w:pStyle w:val="Compact"/>
      </w:pPr>
      <w:r>
        <w:t xml:space="preserve">IBD comprises Crohn’s disease (CD), which can affect any part of the gut through its full thickness, and ulcerative colitis (UC), which is limited to the colonic mucosa. Both have a chronic, relapsing course.</w:t>
      </w:r>
    </w:p>
    <w:p>
      <w:pPr>
        <w:numPr>
          <w:ilvl w:val="0"/>
          <w:numId w:val="1001"/>
        </w:numPr>
        <w:pStyle w:val="Compact"/>
      </w:pPr>
      <w:r>
        <w:t xml:space="preserve">Symptoms and consequences: diarrhoea, rectal bleeding, abdominal pain, fatigue, weight loss; strictures and fistulae in CD; higher colorectal cancer risk; surgery; reduced quality of life and a heavy healthcare burden.</w:t>
      </w:r>
    </w:p>
    <w:p>
      <w:pPr>
        <w:numPr>
          <w:ilvl w:val="0"/>
          <w:numId w:val="1001"/>
        </w:numPr>
        <w:pStyle w:val="Compact"/>
      </w:pPr>
      <w:r>
        <w:t xml:space="preserve">Incidence is rising in newly industrialised regions that are adopting Westernised diets, which suggests environmental drivers, diet among them.</w:t>
      </w:r>
    </w:p>
    <w:p>
      <w:pPr>
        <w:numPr>
          <w:ilvl w:val="0"/>
          <w:numId w:val="1001"/>
        </w:numPr>
        <w:pStyle w:val="Compact"/>
      </w:pPr>
      <w:r>
        <w:t xml:space="preserve">Thesis: can the Mediterranean diet (MD) act as an alternative strategy for managing IBD, and what limits it?</w:t>
      </w:r>
    </w:p>
    <w:bookmarkEnd w:id="20"/>
    <w:bookmarkStart w:id="21" w:name="X753642069f66c46df6b606638da5721c37a1e17"/>
    <w:p>
      <w:pPr>
        <w:pStyle w:val="Heading3"/>
      </w:pPr>
      <w:r>
        <w:t xml:space="preserve">2. How diet feeds the inflammatory loop, and why current drugs leave a gap</w:t>
      </w:r>
    </w:p>
    <w:p>
      <w:pPr>
        <w:numPr>
          <w:ilvl w:val="0"/>
          <w:numId w:val="1002"/>
        </w:numPr>
        <w:pStyle w:val="Compact"/>
      </w:pPr>
      <w:r>
        <w:t xml:space="preserve">IBD arises when genetic susceptibility meets environmental factors that disturb the balance between the microbiota, the epithelial barrier and mucosal immunity.</w:t>
      </w:r>
    </w:p>
    <w:p>
      <w:pPr>
        <w:numPr>
          <w:ilvl w:val="0"/>
          <w:numId w:val="1002"/>
        </w:numPr>
        <w:pStyle w:val="Compact"/>
      </w:pPr>
      <w:r>
        <w:t xml:space="preserve">A low-fibre Western diet reduces microbial short-chain fatty acid (SCFA) production, which weakens barrier protection and SCFA-driven regulatory T-cell (Treg) restraint.</w:t>
      </w:r>
    </w:p>
    <w:p>
      <w:pPr>
        <w:numPr>
          <w:ilvl w:val="0"/>
          <w:numId w:val="1002"/>
        </w:numPr>
        <w:pStyle w:val="Compact"/>
      </w:pPr>
      <w:r>
        <w:t xml:space="preserve">A diet high in n-6 polyunsaturated fatty acids (PUFAs) promotes dysbiosis and barrier leak in susceptible mice. In hosts with impaired epithelial stress defences, PUFAs also trigger epithelial endoplasmic reticulum (ER) stress and neutrophil recruitment. Rising tumour necrosis factor (TNF) then closes the loop.</w:t>
      </w:r>
    </w:p>
    <w:p>
      <w:pPr>
        <w:numPr>
          <w:ilvl w:val="0"/>
          <w:numId w:val="1002"/>
        </w:numPr>
        <w:pStyle w:val="Compact"/>
      </w:pPr>
      <w:r>
        <w:t xml:space="preserve">Current treatment by goal: induction with corticosteroids; maintenance with aminosalicylates, thiopurines and biologics (anti-TNF, anti-integrin, anti-IL-12/23) or small molecules; surgery for complications.</w:t>
      </w:r>
    </w:p>
    <w:p>
      <w:pPr>
        <w:numPr>
          <w:ilvl w:val="0"/>
          <w:numId w:val="1002"/>
        </w:numPr>
        <w:pStyle w:val="Compact"/>
      </w:pPr>
      <w:r>
        <w:t xml:space="preserve">Limitations: steroid side effects; primary non-response and loss of response to anti-TNF agents; drugs suppress downstream inflammation but do not remove upstream drivers such as diet.</w:t>
      </w:r>
    </w:p>
    <w:p>
      <w:pPr>
        <w:numPr>
          <w:ilvl w:val="0"/>
          <w:numId w:val="1002"/>
        </w:numPr>
        <w:pStyle w:val="Compact"/>
      </w:pPr>
      <w:r>
        <w:rPr>
          <w:iCs/>
          <w:i/>
        </w:rPr>
        <w:t xml:space="preserve">Figure 1 (own drawing, e.g. in BioRender, adapted from a review):</w:t>
      </w:r>
      <w:r>
        <w:t xml:space="preserve"> </w:t>
      </w:r>
      <w:r>
        <w:t xml:space="preserve">the inflammatory loop (microbiota, barrier, immune cells), showing where Western-diet factors push it and where MD components act.</w:t>
      </w:r>
    </w:p>
    <w:bookmarkEnd w:id="21"/>
    <w:bookmarkStart w:id="22" w:name="Xafbf845bf3f8ed334f6469cfbee42e4da89b913"/>
    <w:p>
      <w:pPr>
        <w:pStyle w:val="Heading3"/>
      </w:pPr>
      <w:r>
        <w:t xml:space="preserve">3. Biological basis: how MD may restrain intestinal inflammation</w:t>
      </w:r>
    </w:p>
    <w:p>
      <w:pPr>
        <w:numPr>
          <w:ilvl w:val="0"/>
          <w:numId w:val="1003"/>
        </w:numPr>
        <w:pStyle w:val="Compact"/>
      </w:pPr>
      <w:r>
        <w:t xml:space="preserve">MD is a whole dietary pattern: vegetables, legumes, fruit, whole grains, nuts, olive oil and fish, with few ultra-processed foods. It is an ordinary way of eating rather than a medical formula.</w:t>
      </w:r>
    </w:p>
    <w:p>
      <w:pPr>
        <w:numPr>
          <w:ilvl w:val="0"/>
          <w:numId w:val="1003"/>
        </w:numPr>
        <w:pStyle w:val="Compact"/>
      </w:pPr>
      <w:r>
        <w:t xml:space="preserve">Fibre is fermented by microbes to SCFAs such as butyrate. Butyrate fuels colonocytes and stabilises hypoxia-inducible factor (HIF) to support the barrier, and it promotes colonic Tregs through histone acetylation at</w:t>
      </w:r>
      <w:r>
        <w:t xml:space="preserve"> </w:t>
      </w:r>
      <w:r>
        <w:rPr>
          <w:iCs/>
          <w:i/>
        </w:rPr>
        <w:t xml:space="preserve">Foxp3</w:t>
      </w:r>
      <w:r>
        <w:t xml:space="preserve">.</w:t>
      </w:r>
    </w:p>
    <w:p>
      <w:pPr>
        <w:numPr>
          <w:ilvl w:val="0"/>
          <w:numId w:val="1003"/>
        </w:numPr>
        <w:pStyle w:val="Compact"/>
      </w:pPr>
      <w:r>
        <w:t xml:space="preserve">Fat quality: olive-oil monounsaturated fat replaces n-6-rich oils, and n-3 PUFAs from fish tend to increase butyrate producers. The net effect depends on the whole pattern rather than on a single fat.</w:t>
      </w:r>
    </w:p>
    <w:p>
      <w:pPr>
        <w:numPr>
          <w:ilvl w:val="0"/>
          <w:numId w:val="1003"/>
        </w:numPr>
        <w:pStyle w:val="Compact"/>
      </w:pPr>
      <w:r>
        <w:t xml:space="preserve">Polyphenols (from olive oil, fruit and vegetables) are converted by microbes into anti-inflammatory metabolites.</w:t>
      </w:r>
    </w:p>
    <w:p>
      <w:pPr>
        <w:numPr>
          <w:ilvl w:val="0"/>
          <w:numId w:val="1003"/>
        </w:numPr>
        <w:pStyle w:val="Compact"/>
      </w:pPr>
      <w:r>
        <w:t xml:space="preserve">Bridge: the biology is plausible, so does it translate into clinical benefit?</w:t>
      </w:r>
    </w:p>
    <w:bookmarkEnd w:id="22"/>
    <w:bookmarkStart w:id="23" w:name="X663215d2d654201547d3ffa84b1192da0422a9c"/>
    <w:p>
      <w:pPr>
        <w:pStyle w:val="Heading3"/>
      </w:pPr>
      <w:r>
        <w:t xml:space="preserve">4. Clinical evidence: maintenance and active disease</w:t>
      </w:r>
    </w:p>
    <w:p>
      <w:pPr>
        <w:numPr>
          <w:ilvl w:val="0"/>
          <w:numId w:val="1004"/>
        </w:numPr>
        <w:pStyle w:val="Compact"/>
      </w:pPr>
      <w:r>
        <w:t xml:space="preserve">Maintenance question: in UC in remission, MD is associated with lower intestinal inflammation (faecal calprotectin) and sustained remission.</w:t>
      </w:r>
    </w:p>
    <w:p>
      <w:pPr>
        <w:numPr>
          <w:ilvl w:val="0"/>
          <w:numId w:val="1004"/>
        </w:numPr>
        <w:pStyle w:val="Compact"/>
      </w:pPr>
      <w:r>
        <w:t xml:space="preserve">Active disease question: in adults with mild-to-moderate CD, MD gave symptomatic remission similar to the specific carbohydrate diet, but falls in calprotectin or CRP were uncommon.</w:t>
      </w:r>
    </w:p>
    <w:p>
      <w:pPr>
        <w:numPr>
          <w:ilvl w:val="0"/>
          <w:numId w:val="1004"/>
        </w:numPr>
        <w:pStyle w:val="Compact"/>
      </w:pPr>
      <w:r>
        <w:t xml:space="preserve">Compared with exclusive enteral nutrition (EEN), which induces mucosal healing mainly in paediatric CD, MD is easier to accept as everyday food, but its effect on active disease is mainly symptomatic.</w:t>
      </w:r>
    </w:p>
    <w:p>
      <w:pPr>
        <w:numPr>
          <w:ilvl w:val="0"/>
          <w:numId w:val="1004"/>
        </w:numPr>
        <w:pStyle w:val="Compact"/>
      </w:pPr>
      <w:r>
        <w:t xml:space="preserve">Guidelines recommend MD as a long-term eating pattern for people with IBD, but not as a replacement for drugs in active disease.</w:t>
      </w:r>
    </w:p>
    <w:bookmarkEnd w:id="23"/>
    <w:bookmarkStart w:id="24" w:name="Xd3d6c8a5ca71d74def77a6a4722d8033672b077"/>
    <w:p>
      <w:pPr>
        <w:pStyle w:val="Heading3"/>
      </w:pPr>
      <w:r>
        <w:t xml:space="preserve">5. Evaluating the challenges of MD as an alternative</w:t>
      </w:r>
    </w:p>
    <w:p>
      <w:pPr>
        <w:numPr>
          <w:ilvl w:val="0"/>
          <w:numId w:val="1005"/>
        </w:numPr>
        <w:pStyle w:val="Compact"/>
      </w:pPr>
      <w:r>
        <w:t xml:space="preserve">Evidence quality: small, short trials; active-diet rather than habitual-diet comparators; some groups defined by adherence; mixed results across UC and CD and across endpoints.</w:t>
      </w:r>
    </w:p>
    <w:p>
      <w:pPr>
        <w:numPr>
          <w:ilvl w:val="0"/>
          <w:numId w:val="1005"/>
        </w:numPr>
        <w:pStyle w:val="Compact"/>
      </w:pPr>
      <w:r>
        <w:t xml:space="preserve">Adherence: acceptability does not guarantee sustained adherence, and long-term adherence in surveys is low.</w:t>
      </w:r>
    </w:p>
    <w:p>
      <w:pPr>
        <w:numPr>
          <w:ilvl w:val="0"/>
          <w:numId w:val="1005"/>
        </w:numPr>
        <w:pStyle w:val="Compact"/>
      </w:pPr>
      <w:r>
        <w:t xml:space="preserve">Clinical safety: high fibre may need modification in stricturing CD or during flares.</w:t>
      </w:r>
    </w:p>
    <w:p>
      <w:pPr>
        <w:numPr>
          <w:ilvl w:val="0"/>
          <w:numId w:val="1005"/>
        </w:numPr>
        <w:pStyle w:val="Compact"/>
      </w:pPr>
      <w:r>
        <w:t xml:space="preserve">Implementation: limited access to trained IBD dietitians; MD has to be adapted to non-Mediterranean food cultures; cost.</w:t>
      </w:r>
    </w:p>
    <w:p>
      <w:pPr>
        <w:numPr>
          <w:ilvl w:val="0"/>
          <w:numId w:val="1005"/>
        </w:numPr>
        <w:pStyle w:val="Compact"/>
      </w:pPr>
      <w:r>
        <w:t xml:space="preserve">Unknowns: which MD components matter most, and whether digital (app-based) dietary support can sustain adherence.</w:t>
      </w:r>
    </w:p>
    <w:p>
      <w:pPr>
        <w:numPr>
          <w:ilvl w:val="0"/>
          <w:numId w:val="1005"/>
        </w:numPr>
        <w:pStyle w:val="Compact"/>
      </w:pPr>
      <w:r>
        <w:rPr>
          <w:iCs/>
          <w:i/>
        </w:rPr>
        <w:t xml:space="preserve">Optional Figure 2:</w:t>
      </w:r>
      <w:r>
        <w:t xml:space="preserve"> </w:t>
      </w:r>
      <w:r>
        <w:t xml:space="preserve">a simple comparison of a Western diet and MD, showing their effects on SCFA, barrier and immune tone (or a small table of the key trials).</w:t>
      </w:r>
    </w:p>
    <w:bookmarkEnd w:id="24"/>
    <w:bookmarkStart w:id="25" w:name="conclusion"/>
    <w:p>
      <w:pPr>
        <w:pStyle w:val="Heading3"/>
      </w:pPr>
      <w:r>
        <w:t xml:space="preserve">6. Conclusion</w:t>
      </w:r>
    </w:p>
    <w:p>
      <w:pPr>
        <w:numPr>
          <w:ilvl w:val="0"/>
          <w:numId w:val="1006"/>
        </w:numPr>
        <w:pStyle w:val="Compact"/>
      </w:pPr>
      <w:r>
        <w:t xml:space="preserve">Mechanistic studies show that MD can act on the microbial, barrier and immune parts of the IBD inflammatory loop.</w:t>
      </w:r>
    </w:p>
    <w:p>
      <w:pPr>
        <w:numPr>
          <w:ilvl w:val="0"/>
          <w:numId w:val="1006"/>
        </w:numPr>
        <w:pStyle w:val="Compact"/>
      </w:pPr>
      <w:r>
        <w:t xml:space="preserve">Clinical trials support it most clearly in maintaining low inflammation in UC, with a mainly symptomatic effect in active CD.</w:t>
      </w:r>
    </w:p>
    <w:p>
      <w:pPr>
        <w:numPr>
          <w:ilvl w:val="0"/>
          <w:numId w:val="1006"/>
        </w:numPr>
        <w:pStyle w:val="Compact"/>
      </w:pPr>
      <w:r>
        <w:t xml:space="preserve">MD is therefore a realistic alternative strategy for long-term management, used alongside drugs rather than replacing them in active disease.</w:t>
      </w:r>
    </w:p>
    <w:p>
      <w:pPr>
        <w:numPr>
          <w:ilvl w:val="0"/>
          <w:numId w:val="1006"/>
        </w:numPr>
        <w:pStyle w:val="Compact"/>
      </w:pPr>
      <w:r>
        <w:t xml:space="preserve">Longer controlled trials and supported adherence will determine its wider role.</w:t>
      </w:r>
    </w:p>
    <w:p>
      <w:r>
        <w:pict>
          <v:rect style="width:0;height:1.5pt" o:hralign="center" o:hrstd="t" o:hr="t"/>
        </w:pict>
      </w:r>
    </w:p>
    <w:p>
      <w:pPr>
        <w:pStyle w:val="FirstParagraph"/>
      </w:pPr>
      <w:r>
        <w:rPr>
          <w:iCs/>
          <w:i/>
        </w:rPr>
        <w:t xml:space="preserve">Word budget (about 1,000 words): Introduction ~150, section 2 ~220, section 3 ~230, section 4 ~180, section 5 ~180, Conclusion ~60. Abstract: 100–150 words, written last.</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2026-10-09T14:40:04Z</dcterms:created>
  <dcterms:modified xsi:type="dcterms:W3CDTF">2026-10-09T14:40:04Z</dcterms:modified>
</cp:coreProperties>
</file>

<file path=docProps/custom.xml><?xml version="1.0" encoding="utf-8"?>
<Properties xmlns="http://schemas.openxmlformats.org/officeDocument/2006/custom-properties" xmlns:vt="http://schemas.openxmlformats.org/officeDocument/2006/docPropsVTypes"/>
</file>