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1db742015c77fa61aff02dd83e8bd73b1c2d6a"/>
    <w:p>
      <w:pPr>
        <w:pStyle w:val="Heading1"/>
      </w:pPr>
      <w:r>
        <w:t xml:space="preserve">Open concerns about skeleton v3 (branch</w:t>
      </w:r>
      <w:r>
        <w:t xml:space="preserve"> </w:t>
      </w:r>
      <w:r>
        <w:t xml:space="preserve">“</w:t>
      </w:r>
      <w:r>
        <w:t xml:space="preserve">Oct.9th-2217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Prepared by Claude on 9 October 2026. Judged against the DRS ICA brief 2026-7, the DRS essay rubric 2026-27, the Session 3 plan tutorial and your FLS marker feedback. Claims were checked against PubMed abstracts unless marked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full text needed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bookmarkStart w:id="20" w:name="Xdfe5c8209e9895f6d78ec8ab8b053d7c6ad586a"/>
    <w:p>
      <w:pPr>
        <w:pStyle w:val="Heading2"/>
      </w:pPr>
      <w:r>
        <w:t xml:space="preserve">A. Requirements from the brief that the skeleton still misses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Title must be the exact assigned topic:</w:t>
      </w:r>
      <w:r>
        <w:t xml:space="preserve"> </w:t>
      </w:r>
      <w:r>
        <w:t xml:space="preserve">“</w:t>
      </w:r>
      <w:r>
        <w:t xml:space="preserve">The Mediterranean diet as an alternative for the management of inflammatory bowel diseases</w:t>
      </w:r>
      <w:r>
        <w:t xml:space="preserve">”</w:t>
      </w:r>
      <w:r>
        <w:t xml:space="preserve">. The skeleton uses</w:t>
      </w:r>
      <w:r>
        <w:t xml:space="preserve"> </w:t>
      </w:r>
      <w:r>
        <w:t xml:space="preserve">“</w:t>
      </w:r>
      <w:r>
        <w:t xml:space="preserve">MidDiet as an alternative for management of IBD</w:t>
      </w:r>
      <w:r>
        <w:t xml:space="preserve">”</w:t>
      </w:r>
      <w:r>
        <w:t xml:space="preserve">. The brief warns that deviating from the topic can significantly reduce the mark.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Symptoms and consequences are missing from the Introduction.</w:t>
      </w:r>
      <w:r>
        <w:t xml:space="preserve"> </w:t>
      </w:r>
      <w:r>
        <w:t xml:space="preserve">The brief requires them: diarrhoea, rectal bleeding, abdominal pain, fatigue and weight loss; strictures and fistulae in CD; colorectal cancer risk; surgery; quality of life.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Current treatment approaches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too narrow.</w:t>
      </w:r>
      <w:r>
        <w:t xml:space="preserve"> </w:t>
      </w:r>
      <w:r>
        <w:t xml:space="preserve">Only anti-TNF agents and corticosteroids appear. Add aminosalicylates, immunomodulators (thiopurines), other advanced therapies (vedolizumab, ustekinumab, JAK inhibitors) and surgery, grouped by goal: induce remission vs maintain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figures are planned.</w:t>
      </w:r>
      <w:r>
        <w:t xml:space="preserve"> </w:t>
      </w:r>
      <w:r>
        <w:t xml:space="preserve">The tutorial asks for a short description of each figure under its heading. The brief allows 1–2 figures, which must not be AI-generated.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Evaluate the challenges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needs its own numbered section.</w:t>
      </w:r>
      <w:r>
        <w:t xml:space="preserve"> </w:t>
      </w:r>
      <w:r>
        <w:t xml:space="preserve">It is one of the brief’s three tasks.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 format:</w:t>
      </w:r>
      <w:r>
        <w:t xml:space="preserve"> </w:t>
      </w:r>
      <w:r>
        <w:t xml:space="preserve">the first heading should be</w:t>
      </w:r>
      <w:r>
        <w:t xml:space="preserve"> </w:t>
      </w:r>
      <w:r>
        <w:t xml:space="preserve">“</w:t>
      </w:r>
      <w:r>
        <w:t xml:space="preserve">Introduction</w:t>
      </w:r>
      <w:r>
        <w:t xml:space="preserve">”</w:t>
      </w:r>
      <w:r>
        <w:t xml:space="preserve"> </w:t>
      </w:r>
      <w:r>
        <w:t xml:space="preserve">and the last</w:t>
      </w:r>
      <w:r>
        <w:t xml:space="preserve"> </w:t>
      </w:r>
      <w:r>
        <w:t xml:space="preserve">“</w:t>
      </w:r>
      <w:r>
        <w:t xml:space="preserve">Conclusion</w:t>
      </w:r>
      <w:r>
        <w:t xml:space="preserve">”</w:t>
      </w:r>
      <w:r>
        <w:t xml:space="preserve">. Use informative numbered headings with 3–5 bullets each.</w:t>
      </w:r>
    </w:p>
    <w:bookmarkEnd w:id="20"/>
    <w:bookmarkStart w:id="21" w:name="b.-scientific-accuracy"/>
    <w:p>
      <w:pPr>
        <w:pStyle w:val="Heading2"/>
      </w:pPr>
      <w:r>
        <w:t xml:space="preserve">B. Scientific accuracy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PUFA and dysbiosis (checked on PubMed).</w:t>
      </w:r>
    </w:p>
    <w:p>
      <w:pPr>
        <w:numPr>
          <w:ilvl w:val="1"/>
          <w:numId w:val="1003"/>
        </w:numPr>
        <w:pStyle w:val="Compact"/>
      </w:pPr>
      <w:r>
        <w:t xml:space="preserve">Supported:</w:t>
      </w:r>
      <w:r>
        <w:t xml:space="preserve"> </w:t>
      </w:r>
      <w:r>
        <w:rPr>
          <w:bCs/>
          <w:b/>
        </w:rPr>
        <w:t xml:space="preserve">n-6 linoleic acid</w:t>
      </w:r>
      <w:r>
        <w:t xml:space="preserve"> </w:t>
      </w:r>
      <w:r>
        <w:t xml:space="preserve">causes dysbiosis in susceptible mice. A high-linoleic-acid soybean-oil diet expanded adherent-invasive</w:t>
      </w:r>
      <w:r>
        <w:t xml:space="preserve"> </w:t>
      </w:r>
      <w:r>
        <w:rPr>
          <w:iCs/>
          <w:i/>
        </w:rPr>
        <w:t xml:space="preserve">E. coli</w:t>
      </w:r>
      <w:r>
        <w:t xml:space="preserve">, increased barrier permeability and worsened colitis; a low-linoleic-acid oil and olive oil did not (Deol et al., 2023, https://doi.org/10.1080/19490976.2023.2229945). Corn oil also favoured pathobionts (Abulizi et al., 2019, https://doi.org/10.3390/nu11020418).</w:t>
      </w:r>
    </w:p>
    <w:p>
      <w:pPr>
        <w:numPr>
          <w:ilvl w:val="1"/>
          <w:numId w:val="1003"/>
        </w:numPr>
        <w:pStyle w:val="Compact"/>
      </w:pPr>
      <w:r>
        <w:t xml:space="preserve">Not shown in these abstracts: that this dysbiosis</w:t>
      </w:r>
      <w:r>
        <w:t xml:space="preserve"> </w:t>
      </w:r>
      <w:r>
        <w:rPr>
          <w:iCs/>
          <w:i/>
        </w:rPr>
        <w:t xml:space="preserve">lowers SCFA</w:t>
      </w:r>
      <w:r>
        <w:t xml:space="preserve">. Keep that step out unless a full text states it.</w:t>
      </w:r>
      <w:r>
        <w:t xml:space="preserve"> </w:t>
      </w:r>
      <w:r>
        <w:rPr>
          <w:bCs/>
          <w:b/>
        </w:rPr>
        <w:t xml:space="preserve">(Full text needed if you want to keep it.)</w:t>
      </w:r>
    </w:p>
    <w:p>
      <w:pPr>
        <w:numPr>
          <w:ilvl w:val="1"/>
          <w:numId w:val="1003"/>
        </w:numPr>
        <w:pStyle w:val="Compact"/>
      </w:pPr>
      <w:r>
        <w:t xml:space="preserve">Contradicted:</w:t>
      </w:r>
      <w:r>
        <w:t xml:space="preserve"> </w:t>
      </w:r>
      <w:r>
        <w:rPr>
          <w:bCs/>
          <w:b/>
        </w:rPr>
        <w:t xml:space="preserve">n-3</w:t>
      </w:r>
      <w:r>
        <w:t xml:space="preserve"> </w:t>
      </w:r>
      <w:r>
        <w:t xml:space="preserve">causing dysbiosis. Omega-3 tends to</w:t>
      </w:r>
      <w:r>
        <w:t xml:space="preserve"> </w:t>
      </w:r>
      <w:r>
        <w:rPr>
          <w:iCs/>
          <w:i/>
        </w:rPr>
        <w:t xml:space="preserve">increase</w:t>
      </w:r>
      <w:r>
        <w:t xml:space="preserve"> </w:t>
      </w:r>
      <w:r>
        <w:t xml:space="preserve">butyrate-producing bacteria (Costantini et al., 2017, review, https://doi.org/10.3390/ijms18122645). Remove n-3 from the dysbiosis claim. This also resolves the clash with recommending oily fish.</w:t>
      </w:r>
    </w:p>
    <w:p>
      <w:pPr>
        <w:numPr>
          <w:ilvl w:val="1"/>
          <w:numId w:val="1003"/>
        </w:numPr>
        <w:pStyle w:val="Compact"/>
      </w:pPr>
      <w:r>
        <w:t xml:space="preserve">The ER-stress route (Schwärzler et al., 2022) involves both n-3 and n-6 PUFAs and was shown in hosts with impaired GPX4 or XBP1. Keep</w:t>
      </w:r>
      <w:r>
        <w:t xml:space="preserve"> </w:t>
      </w:r>
      <w:r>
        <w:t xml:space="preserve">“</w:t>
      </w:r>
      <w:r>
        <w:t xml:space="preserve">in susceptible hosts</w:t>
      </w:r>
      <w:r>
        <w:t xml:space="preserve">”</w:t>
      </w:r>
      <w:r>
        <w:t xml:space="preserve"> </w:t>
      </w:r>
      <w:r>
        <w:t xml:space="preserve">in the wording.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Corticosteroids do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target TNF alpha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They are broadly immunosuppressive. Reword the therapy bullet so that only anti-TNF agents target TNF.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Indirectly activate T-cells</w:t>
      </w:r>
      <w:r>
        <w:rPr>
          <w:bCs/>
          <w:b/>
        </w:rPr>
        <w:t xml:space="preserve">”</w:t>
      </w:r>
      <w:r>
        <w:t xml:space="preserve"> </w:t>
      </w:r>
      <w:r>
        <w:t xml:space="preserve">is still attached to PUFAs. Replace it with the specific, supported effects (dysbiosis, barrier leak, epithelial ER stress leading to neutrophil recruitment).</w:t>
      </w:r>
    </w:p>
    <w:bookmarkEnd w:id="21"/>
    <w:bookmarkStart w:id="22" w:name="Xa7a17da229354490258ce3774e78ba470d95f89"/>
    <w:p>
      <w:pPr>
        <w:pStyle w:val="Heading2"/>
      </w:pPr>
      <w:r>
        <w:t xml:space="preserve">C. Depth that the rubric rewards (Content 30%)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MD mechanism is still generic.</w:t>
      </w:r>
      <w:r>
        <w:t xml:space="preserve"> </w:t>
      </w:r>
      <w:r>
        <w:t xml:space="preserve">The rubric’s 60–69 band is described as</w:t>
      </w:r>
      <w:r>
        <w:t xml:space="preserve"> </w:t>
      </w:r>
      <w:r>
        <w:t xml:space="preserve">“</w:t>
      </w:r>
      <w:r>
        <w:t xml:space="preserve">Some aspects of the essay may not make good reference to the biology of the proposed alternative treat[ment]</w:t>
      </w:r>
      <w:r>
        <w:t xml:space="preserve">”</w:t>
      </w:r>
      <w:r>
        <w:t xml:space="preserve">. Name the steps: fibre fermented to butyrate supports epithelial energy use and barrier function (HIF), and promotes colonic regulatory T cells (Foxp3); olive-oil MUFA replaces n-6-rich oils; polyphenols are converted by microbes into anti-inflammatory metabolites.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Clinical evidence is not specific.</w:t>
      </w:r>
      <w:r>
        <w:t xml:space="preserve"> </w:t>
      </w:r>
      <w:r>
        <w:t xml:space="preserve">Plan two questions, as you suggested: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Keeping inflammation low (maintenance):</w:t>
      </w:r>
      <w:r>
        <w:t xml:space="preserve"> </w:t>
      </w:r>
      <w:r>
        <w:t xml:space="preserve">UC in remission, with calprotectin as the marker.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Reducing active disease (induction):</w:t>
      </w:r>
      <w:r>
        <w:t xml:space="preserve"> </w:t>
      </w:r>
      <w:r>
        <w:t xml:space="preserve">DINE-CD (adults, mild-to-moderate CD). MD and the specific carbohydrate diet gave similar symptomatic remission at week 6 (43.5% vs 46.5%), but calprotectin and CRP responses were uncommon (https://doi.org/10.1053/j.gastro.2021.05.047).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EEN comparison (I revised my view after your point).</w:t>
      </w:r>
      <w:r>
        <w:t xml:space="preserve"> </w:t>
      </w:r>
      <w:r>
        <w:t xml:space="preserve">It is valid on the induction question. State the gap: EEN brings mucosal healing (mainly shown in paediatric CD), while MD’s induction effect in DINE-CD was mostly symptomatic.</w:t>
      </w:r>
    </w:p>
    <w:bookmarkEnd w:id="22"/>
    <w:bookmarkStart w:id="23" w:name="d.-challenges-you-could-add"/>
    <w:p>
      <w:pPr>
        <w:pStyle w:val="Heading2"/>
      </w:pPr>
      <w:r>
        <w:t xml:space="preserve">D. Challenges you could add</w:t>
      </w:r>
    </w:p>
    <w:p>
      <w:pPr>
        <w:numPr>
          <w:ilvl w:val="0"/>
          <w:numId w:val="1006"/>
        </w:numPr>
        <w:pStyle w:val="Compact"/>
      </w:pPr>
      <w:r>
        <w:t xml:space="preserve">High fibre may be unsuitable in stricturing CD or during flares, so it needs individual adjustment.</w:t>
      </w:r>
    </w:p>
    <w:p>
      <w:pPr>
        <w:numPr>
          <w:ilvl w:val="0"/>
          <w:numId w:val="1006"/>
        </w:numPr>
        <w:pStyle w:val="Compact"/>
      </w:pPr>
      <w:r>
        <w:t xml:space="preserve">MD has to be adapted to non-Mediterranean food cultures (for example, Chinese diets), and cost is a challenge.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Confining the applicable regions and communities</w:t>
      </w:r>
      <w:r>
        <w:t xml:space="preserve">”</w:t>
      </w:r>
      <w:r>
        <w:t xml:space="preserve"> </w:t>
      </w:r>
      <w:r>
        <w:t xml:space="preserve">is vague. Give a concrete example or cut it.</w:t>
      </w:r>
    </w:p>
    <w:bookmarkEnd w:id="23"/>
    <w:bookmarkStart w:id="24" w:name="Xad84b92e58932fd4cb07021b322060519b69f3e"/>
    <w:p>
      <w:pPr>
        <w:pStyle w:val="Heading2"/>
      </w:pPr>
      <w:r>
        <w:t xml:space="preserve">E. Points to verify yourself (full text needed)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El Amrousy et al. (2022):</w:t>
      </w:r>
      <w:r>
        <w:t xml:space="preserve"> </w:t>
      </w:r>
      <w:r>
        <w:t xml:space="preserve">were groups randomised or defined by adherence (KIDMED score)? Were withdrawals replaced? (https://doi.org/10.2147/JIR.S349502)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ECCO guidance wording:</w:t>
      </w:r>
      <w:r>
        <w:t xml:space="preserve"> </w:t>
      </w:r>
      <w:r>
        <w:t xml:space="preserve">PubMed has no abstract for it, so check the exact recommendation in the consensus document.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Any claim that n-6-driven dysbiosis lowers SCFA</w:t>
      </w:r>
      <w:r>
        <w:t xml:space="preserve"> </w:t>
      </w:r>
      <w:r>
        <w:t xml:space="preserve">(see item 7).</w:t>
      </w:r>
    </w:p>
    <w:bookmarkEnd w:id="24"/>
    <w:bookmarkStart w:id="25" w:name="f.-process-and-integrity"/>
    <w:p>
      <w:pPr>
        <w:pStyle w:val="Heading2"/>
      </w:pPr>
      <w:r>
        <w:t xml:space="preserve">F. Process and integrity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brief forbids AI-produced content in formative and summative submissions.</w:t>
      </w:r>
      <w:r>
        <w:t xml:space="preserve"> </w:t>
      </w:r>
      <w:r>
        <w:t xml:space="preserve">The suggested skeleton on the companion branch is a reference only. Write your plan in your own words.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t xml:space="preserve">10–15 allowed. Draft v2 has 16, so cut one. Cite immediately after each claim, as your FLS feedback asked.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Abbreviations:</w:t>
      </w:r>
      <w:r>
        <w:t xml:space="preserve"> </w:t>
      </w:r>
      <w:r>
        <w:t xml:space="preserve">use MD only (not MidDiet or MED), and define every abbreviation at first use. Avoid contractions.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Language fixes:</w:t>
      </w:r>
      <w:r>
        <w:t xml:space="preserve"> </w:t>
      </w:r>
      <w:r>
        <w:t xml:space="preserve">“</w:t>
      </w:r>
      <w:r>
        <w:t xml:space="preserve">may introduces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may cause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inflammations occurs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inflammation develops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Mechanical analysis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Mechanistic studies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well-round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well-rounded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constraint</w:t>
      </w:r>
      <w:r>
        <w:t xml:space="preserve">”</w:t>
      </w:r>
      <w:r>
        <w:t xml:space="preserve"> </w:t>
      </w:r>
      <w:r>
        <w:t xml:space="preserve">(verb) →</w:t>
      </w:r>
      <w:r>
        <w:t xml:space="preserve"> </w:t>
      </w:r>
      <w:r>
        <w:t xml:space="preserve">“</w:t>
      </w:r>
      <w:r>
        <w:t xml:space="preserve">constrain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suggested to altering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suggested to alter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N-3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n-3</w:t>
      </w:r>
      <w:r>
        <w:t xml:space="preserve">”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1"/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2026-10-09T14:40:04Z</dcterms:created>
  <dcterms:modified xsi:type="dcterms:W3CDTF">2026-10-09T14:40:04Z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