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F25"/>
          <w:sz w:val="44"/>
        </w:rPr>
        <w:t>Trestle — System Brief &amp; Submodule Inventory</w:t>
      </w:r>
    </w:p>
    <w:p>
      <w:r>
        <w:rPr>
          <w:color w:val="6A737C"/>
          <w:sz w:val="20"/>
        </w:rPr>
        <w:t>Shared reference for technical and finance / finance-tech leads supporting the rebuild. Each submodule carries a complexity gauge and a "similar to" tag list so reviewers can scan where depth matters.</w:t>
      </w:r>
    </w:p>
    <w:p/>
    <w:p>
      <w:r>
        <w:rPr>
          <w:b/>
          <w:color w:val="2C5A8A"/>
          <w:sz w:val="28"/>
        </w:rPr>
        <w:t>1. EXEC SUMMARY</w:t>
      </w:r>
    </w:p>
    <w:p>
      <w:r>
        <w:t>Trestle is a multi-user FP&amp;A planning platform: one shared workspace per fiscal year holding 14 plan files (1 AOP + 12 monthly Rolling Forecasts + 1 Long-Term Plan). Each plan file is a state_data JSON containing every input module (revenue, headcount, vendor, contractor, T&amp;E, other, D&amp;A) coded to a shared chartfield grid (Business Unit / Biz Line / Market / Project / Account). Calc outputs feed a P&amp;L walk and a pivot/analytics layer; collaboration runs over WebSocket presence with live cursors and shared state.</w:t>
      </w:r>
    </w:p>
    <w:p>
      <w:r>
        <w:t>The rebuild target preserves the conceptual model but replaces the single-blob state with a normalized data spine, layered access control, and standard EPM connectors. This brief is the shared map: an inventory plus deep dives on the highest-leverage submodules.</w:t>
      </w:r>
    </w:p>
    <w:p/>
    <w:p>
      <w:r>
        <w:rPr>
          <w:b/>
          <w:color w:val="2C5A8A"/>
          <w:sz w:val="28"/>
        </w:rPr>
        <w:t>2. SYSTEM SPINE</w:t>
      </w:r>
    </w:p>
    <w:p>
      <w:r>
        <w:rPr>
          <w:b/>
          <w:color w:val="B07B3A"/>
          <w:sz w:val="24"/>
        </w:rPr>
        <w:t>Plan Container</w:t>
      </w:r>
    </w:p>
    <w:p>
      <w:r>
        <w:t>Workspace (year) holds 14 plan files: 1 AOP · 12 monthly RFs · 1 LTP . Each plan = one state_data JSON. Scenario types: budget forecast actual ltp .</w:t>
      </w:r>
    </w:p>
    <w:p>
      <w:r>
        <w:rPr>
          <w:b/>
          <w:color w:val="B07B3A"/>
          <w:sz w:val="24"/>
        </w:rPr>
        <w:t>Input Modules</w:t>
      </w:r>
    </w:p>
    <w:p>
      <w:r>
        <w:t>Revenue · HC &amp; Comp · Vendor / OAO · Contractors · T&amp;E · Other · D&amp;A. Each row coded to chartfields (BU, Biz Line, Market, Project, Account) plus month columns Jan-Dec.</w:t>
      </w:r>
    </w:p>
    <w:p>
      <w:r>
        <w:rPr>
          <w:b/>
          <w:color w:val="B07B3A"/>
          <w:sz w:val="24"/>
        </w:rPr>
        <w:t>Outputs &amp; Collab</w:t>
      </w:r>
    </w:p>
    <w:p>
      <w:r>
        <w:t>P&amp;L walk · pivot / analytics · scenario compare. Real-time collab via WebSocket presence, live cursors, shared state. Admin and access controls layered on top.</w:t>
      </w:r>
    </w:p>
    <w:p/>
    <w:p>
      <w:r>
        <w:rPr>
          <w:b/>
          <w:color w:val="2C5A8A"/>
          <w:sz w:val="28"/>
        </w:rPr>
        <w:t>3. SUBMODULE INVENTORY</w:t>
      </w:r>
    </w:p>
    <w:p>
      <w:r>
        <w:t>Each submodule below carries:</w:t>
      </w:r>
    </w:p>
    <w:p>
      <w:pPr>
        <w:pStyle w:val="ListBullet"/>
      </w:pPr>
      <w:r>
        <w:t>Complexity — calc / edge-case depth on a 1-5 scale (filled dots).</w:t>
      </w:r>
    </w:p>
    <w:p>
      <w:pPr>
        <w:pStyle w:val="ListBullet"/>
      </w:pPr>
      <w:r>
        <w:t>Similar to — a tag list of related submodules that share shape or mechanics. "Stands alone" means no peer module mirrors it.</w:t>
      </w:r>
    </w:p>
    <w:p>
      <w:r>
        <w:t>Use the tags to spot reuse opportunities — a high-similarity cluster means one rebuild covers several modules.</w:t>
      </w:r>
    </w:p>
    <w:p>
      <w:r>
        <w:rPr>
          <w:b/>
          <w:color w:val="B07B3A"/>
          <w:sz w:val="24"/>
        </w:rPr>
        <w:t>Input Modules</w:t>
      </w:r>
    </w:p>
    <w:p>
      <w:r>
        <w:rPr>
          <w:b/>
          <w:color w:val="B07B3A"/>
          <w:sz w:val="24"/>
        </w:rPr>
        <w:t>Revenue</w:t>
      </w:r>
    </w:p>
    <w:p>
      <w:r>
        <w:t>Top-line streams by chartfield × month; feeds P&amp;L, MRR / ARR derivations, and pivot.</w:t>
      </w:r>
    </w:p>
    <w:p>
      <w:r>
        <w:rPr>
          <w:color w:val="6A737C"/>
          <w:sz w:val="20"/>
        </w:rPr>
        <w:t>Complexity: ●●● ●● ●●● ●● 3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Plan top-line by stream; the only revenue-side input.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revenueRows[] — stream, desc,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Total Rev, MRR, ARR → P&amp;L, Pivot, LTP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Direct monthly entry · aggregate to total · derived MRR / ARR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Chartfield dimensions, scenario type</w:t>
            </w:r>
          </w:p>
        </w:tc>
      </w:tr>
    </w:tbl>
    <w:p>
      <w:r>
        <w:rPr>
          <w:b/>
          <w:color w:val="B07B3A"/>
          <w:sz w:val="24"/>
        </w:rPr>
        <w:t>HC &amp; Compensation</w:t>
      </w:r>
    </w:p>
    <w:p>
      <w:r>
        <w:t>Per-employee comp engine — most complex module; drives C&amp;B, CapEx / OpEx split, and FTE rollups.</w:t>
      </w:r>
    </w:p>
    <w:p>
      <w:r>
        <w:rPr>
          <w:color w:val="6A737C"/>
          <w:sz w:val="20"/>
        </w:rPr>
        <w:t>Complexity: ●●●●● ●●●●● 5 / 5</w:t>
      </w:r>
    </w:p>
    <w:p>
      <w:r>
        <w:rPr>
          <w:color w:val="6A737C"/>
          <w:sz w:val="20"/>
        </w:rPr>
        <w:t>Similar to: Contractors (shared rate × time + CapEx mechanics) Contractors (shared rate × time + CapEx mechanics)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Plan headcount, salary, bonus, benefits, CapEx allocation per employee.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employees[] — name, salary, seniority, function, country, capPct, allocations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HC, C&amp;B, CapEx, OpEx → P&amp;L, FTE chart,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Monthly proration on start / end · bonus &amp; benefit loading · CapEx % split · functional pillar allocation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Salary bands, benefits load, FX (future), pillar map</w:t>
            </w:r>
          </w:p>
        </w:tc>
      </w:tr>
    </w:tbl>
    <w:p>
      <w:r>
        <w:rPr>
          <w:b/>
          <w:color w:val="B07B3A"/>
          <w:sz w:val="24"/>
        </w:rPr>
        <w:t>Vendor / OAO</w:t>
      </w:r>
    </w:p>
    <w:p>
      <w:r>
        <w:t>External spend by parent co / vendor; row shape mirrors T&amp;E and Other.</w:t>
      </w:r>
    </w:p>
    <w:p>
      <w:r>
        <w:rPr>
          <w:color w:val="6A737C"/>
          <w:sz w:val="20"/>
        </w:rPr>
        <w:t>Complexity: ●● ●●● ●● ●●● 2 / 5</w:t>
      </w:r>
    </w:p>
    <w:p>
      <w:r>
        <w:rPr>
          <w:color w:val="6A737C"/>
          <w:sz w:val="20"/>
        </w:rPr>
        <w:t>Similar to: T&amp;E Other T&amp;E Other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Plan vendor / outside-services spend.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vendorRows[] — parent co, vendor, type,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OAO total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Direct monthly entry · type tagging · vendor catalog lookup (admin reference)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Vendor catalog, GL accounts</w:t>
            </w:r>
          </w:p>
        </w:tc>
      </w:tr>
    </w:tbl>
    <w:p>
      <w:r>
        <w:rPr>
          <w:b/>
          <w:color w:val="B07B3A"/>
          <w:sz w:val="24"/>
        </w:rPr>
        <w:t>Contractors</w:t>
      </w:r>
    </w:p>
    <w:p>
      <w:r>
        <w:t>Rate × hours model with CapEx split; partially shares HC mechanics.</w:t>
      </w:r>
    </w:p>
    <w:p>
      <w:r>
        <w:rPr>
          <w:color w:val="6A737C"/>
          <w:sz w:val="20"/>
        </w:rPr>
        <w:t>Complexity: ●●● ●● ●●● ●● 3 / 5</w:t>
      </w:r>
    </w:p>
    <w:p>
      <w:r>
        <w:rPr>
          <w:color w:val="6A737C"/>
          <w:sz w:val="20"/>
        </w:rPr>
        <w:t>Similar to: HC &amp; Comp Vendor (partial) HC &amp; Comp Vendor (partial)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Plan non-employee labor with rate cards and CapEx allocation.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contractorRows[] — name, rate, hours, capPct, start / end mo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CTR, CapEx split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Rate × hours per month · CapEx % · proration on start / end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Admin-managed rate cards (role × geo × seniority)</w:t>
            </w:r>
          </w:p>
        </w:tc>
      </w:tr>
    </w:tbl>
    <w:p>
      <w:r>
        <w:rPr>
          <w:b/>
          <w:color w:val="B07B3A"/>
          <w:sz w:val="24"/>
        </w:rPr>
        <w:t>T&amp;E</w:t>
      </w:r>
    </w:p>
    <w:p>
      <w:r>
        <w:t>Travel and expense rows; near-identical shape to Vendor and Other.</w:t>
      </w:r>
    </w:p>
    <w:p>
      <w:r>
        <w:rPr>
          <w:color w:val="6A737C"/>
          <w:sz w:val="20"/>
        </w:rPr>
        <w:t>Complexity: ●● ●●● ●● ●●● 2 / 5</w:t>
      </w:r>
    </w:p>
    <w:p>
      <w:r>
        <w:rPr>
          <w:color w:val="6A737C"/>
          <w:sz w:val="20"/>
        </w:rPr>
        <w:t>Similar to: Vendor Other Vendor Other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Plan travel and expense lines.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teRows[] — expense type, desc, chartfields, jan-dec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T&amp;E total → P&amp;L, Pivot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Direct monthly entry · type tagging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Expense-type list (admin reference)</w:t>
            </w:r>
          </w:p>
        </w:tc>
      </w:tr>
    </w:tbl>
    <w:p>
      <w:r>
        <w:rPr>
          <w:b/>
          <w:color w:val="B07B3A"/>
          <w:sz w:val="24"/>
        </w:rPr>
        <w:t>Other (C&amp;B + OAO)</w:t>
      </w:r>
    </w:p>
    <w:p>
      <w:r>
        <w:t>Catch-all rows split by C&amp;B vs OAO; shape clones Vendor / T&amp;E with a type discriminator.</w:t>
      </w:r>
    </w:p>
    <w:p>
      <w:r>
        <w:rPr>
          <w:color w:val="6A737C"/>
          <w:sz w:val="20"/>
        </w:rPr>
        <w:t>Complexity: ●● ●●● ●● ●●● 2 / 5</w:t>
      </w:r>
    </w:p>
    <w:p>
      <w:r>
        <w:rPr>
          <w:color w:val="6A737C"/>
          <w:sz w:val="20"/>
        </w:rPr>
        <w:t>Similar to: Vendor T&amp;E Vendor T&amp;E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Misc C&amp;B and OAO not captured in core modules.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cbOtherRows[] + oaoOtherRows[]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Other C&amp;B, Other OAO → P&amp;L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Direct monthly entry · routes by type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GL accounts</w:t>
            </w:r>
          </w:p>
        </w:tc>
      </w:tr>
    </w:tbl>
    <w:p>
      <w:r>
        <w:rPr>
          <w:b/>
          <w:color w:val="B07B3A"/>
          <w:sz w:val="24"/>
        </w:rPr>
        <w:t>D&amp;A / Assets</w:t>
      </w:r>
    </w:p>
    <w:p>
      <w:r>
        <w:t>Asset register + depreciation schedule; unique calc shape (multi-year).</w:t>
      </w:r>
    </w:p>
    <w:p>
      <w:r>
        <w:rPr>
          <w:color w:val="6A737C"/>
          <w:sz w:val="20"/>
        </w:rPr>
        <w:t>Complexity: ●●●● ● ●●●● ● 4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PURPOSE</w:t>
            </w:r>
          </w:p>
        </w:tc>
        <w:tc>
          <w:tcPr>
            <w:tcW w:type="dxa" w:w="4320"/>
          </w:tcPr>
          <w:p>
            <w:r>
              <w:t>Track assets and depreciation schedule into P&amp;L and LTP.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depreciationRows[] + assetRows[]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D&amp;A schedule → P&amp;L, LTP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Method-based schedule (straight-line etc.) over useful life · in-service date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DEPENDS</w:t>
            </w:r>
          </w:p>
        </w:tc>
        <w:tc>
          <w:tcPr>
            <w:tcW w:type="dxa" w:w="4320"/>
          </w:tcPr>
          <w:p>
            <w:r>
              <w:t>Asset register, GL accounts</w:t>
            </w:r>
          </w:p>
        </w:tc>
      </w:tr>
    </w:tbl>
    <w:p>
      <w:r>
        <w:rPr>
          <w:b/>
          <w:color w:val="B07B3A"/>
          <w:sz w:val="24"/>
        </w:rPr>
        <w:t>Output &amp; Cross-Cutting Submodules</w:t>
      </w:r>
    </w:p>
    <w:p>
      <w:r>
        <w:rPr>
          <w:b/>
          <w:color w:val="B07B3A"/>
          <w:sz w:val="24"/>
        </w:rPr>
        <w:t>P&amp;L Walk</w:t>
      </w:r>
    </w:p>
    <w:p>
      <w:r>
        <w:t>Aggregates every input module to a chartfield × month grid with subtotals.</w:t>
      </w:r>
    </w:p>
    <w:p>
      <w:r>
        <w:rPr>
          <w:color w:val="6A737C"/>
          <w:sz w:val="20"/>
        </w:rPr>
        <w:t>Complexity: ●●●● ● ●●●● ● 4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</w:t>
            </w:r>
          </w:p>
        </w:tc>
        <w:tc>
          <w:tcPr>
            <w:tcW w:type="dxa" w:w="4320"/>
          </w:tcPr>
          <w:p>
            <w:r>
              <w:t>All module outputs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</w:t>
            </w:r>
          </w:p>
        </w:tc>
        <w:tc>
          <w:tcPr>
            <w:tcW w:type="dxa" w:w="4320"/>
          </w:tcPr>
          <w:p>
            <w:r>
              <w:t>P&amp;L grid, subtotals, scenario compare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Sum by chartfield × month · variance vs scenario · loaded-cost rollups</w:t>
            </w:r>
          </w:p>
        </w:tc>
      </w:tr>
    </w:tbl>
    <w:p>
      <w:r>
        <w:rPr>
          <w:b/>
          <w:color w:val="B07B3A"/>
          <w:sz w:val="24"/>
        </w:rPr>
        <w:t>Pivot &amp; Analytics</w:t>
      </w:r>
    </w:p>
    <w:p>
      <w:r>
        <w:t>Reshape any module data by row dimension and chart it; also handles scenario overlays.</w:t>
      </w:r>
    </w:p>
    <w:p>
      <w:r>
        <w:rPr>
          <w:color w:val="6A737C"/>
          <w:sz w:val="20"/>
        </w:rPr>
        <w:t>Complexity: ●●●● ● ●●●● ● 4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ROW DIMS</w:t>
            </w:r>
          </w:p>
        </w:tc>
        <w:tc>
          <w:tcPr>
            <w:tcW w:type="dxa" w:w="4320"/>
          </w:tcPr>
          <w:p>
            <w:r>
              <w:t>Product, Function, BizLine, Market, Pillar, Month, Quarter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CHARTS</w:t>
            </w:r>
          </w:p>
        </w:tc>
        <w:tc>
          <w:tcPr>
            <w:tcW w:type="dxa" w:w="4320"/>
          </w:tcPr>
          <w:p>
            <w:r>
              <w:t>Bar, Line, Bubble, Scatter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Calc metrics (numerator / denominator) · scenario compare with variance overlay</w:t>
            </w:r>
          </w:p>
        </w:tc>
      </w:tr>
    </w:tbl>
    <w:p>
      <w:r>
        <w:rPr>
          <w:b/>
          <w:color w:val="B07B3A"/>
          <w:sz w:val="24"/>
        </w:rPr>
        <w:t>Spreadsheet-Style Grid</w:t>
      </w:r>
    </w:p>
    <w:p>
      <w:r>
        <w:t>Cross-cutting UX layer used by every input module — single shared cell-grid behavior.</w:t>
      </w:r>
    </w:p>
    <w:p>
      <w:r>
        <w:rPr>
          <w:color w:val="6A737C"/>
          <w:sz w:val="20"/>
        </w:rPr>
        <w:t>Complexity: ●●● ●● ●●● ●● 3 / 5</w:t>
      </w:r>
    </w:p>
    <w:p>
      <w:r>
        <w:rPr>
          <w:color w:val="6A737C"/>
          <w:sz w:val="20"/>
        </w:rPr>
        <w:t>Similar to: cross-cuts every input module (shared component, not a peer) cross-cuts every input module (shared component, not a peer)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BEHAVIOR</w:t>
            </w:r>
          </w:p>
        </w:tc>
        <w:tc>
          <w:tcPr>
            <w:tcW w:type="dxa" w:w="4320"/>
          </w:tcPr>
          <w:p>
            <w:r>
              <w:t>Tab / Enter / Arrow nav · Shift+Click range · multi-cell copy / paste · delete to clear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CLASS</w:t>
            </w:r>
          </w:p>
        </w:tc>
        <w:tc>
          <w:tcPr>
            <w:tcW w:type="dxa" w:w="4320"/>
          </w:tcPr>
          <w:p>
            <w:r>
              <w:t>.ec cells across all module grids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LOGIC</w:t>
            </w:r>
          </w:p>
        </w:tc>
        <w:tc>
          <w:tcPr>
            <w:tcW w:type="dxa" w:w="4320"/>
          </w:tcPr>
          <w:p>
            <w:r>
              <w:t>Single shared handler · rebuild it once and every module benefits</w:t>
            </w:r>
          </w:p>
        </w:tc>
      </w:tr>
    </w:tbl>
    <w:p>
      <w:r>
        <w:rPr>
          <w:b/>
          <w:color w:val="B07B3A"/>
          <w:sz w:val="24"/>
        </w:rPr>
        <w:t>Collaboration &amp; Presence</w:t>
      </w:r>
    </w:p>
    <w:p>
      <w:r>
        <w:t>Real-time multi-user editing — currently single-blob state sync; rebuild target is cell-level CRDT.</w:t>
      </w:r>
    </w:p>
    <w:p>
      <w:r>
        <w:rPr>
          <w:color w:val="6A737C"/>
          <w:sz w:val="20"/>
        </w:rPr>
        <w:t>Complexity: ●●●●● ●●●●● 5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TODAY</w:t>
            </w:r>
          </w:p>
        </w:tc>
        <w:tc>
          <w:tcPr>
            <w:tcW w:type="dxa" w:w="4320"/>
          </w:tcPr>
          <w:p>
            <w:r>
              <w:t>WebSocket presence · live cursors · full-state broadcast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TARGET</w:t>
            </w:r>
          </w:p>
        </w:tc>
        <w:tc>
          <w:tcPr>
            <w:tcW w:type="dxa" w:w="4320"/>
          </w:tcPr>
          <w:p>
            <w:r>
              <w:t>Per-cell CRDT, Redis pub / sub, optimistic locking, audit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RISK</w:t>
            </w:r>
          </w:p>
        </w:tc>
        <w:tc>
          <w:tcPr>
            <w:tcW w:type="dxa" w:w="4320"/>
          </w:tcPr>
          <w:p>
            <w:r>
              <w:t>Highest — touches every module + persistence layer</w:t>
            </w:r>
          </w:p>
        </w:tc>
      </w:tr>
    </w:tbl>
    <w:p>
      <w:r>
        <w:rPr>
          <w:b/>
          <w:color w:val="B07B3A"/>
          <w:sz w:val="24"/>
        </w:rPr>
        <w:t>Admin &amp; Access Control</w:t>
      </w:r>
    </w:p>
    <w:p>
      <w:r>
        <w:t>User / role management plus admin-managed reference data (rate cards, benefits, FX).</w:t>
      </w:r>
    </w:p>
    <w:p>
      <w:r>
        <w:rPr>
          <w:color w:val="6A737C"/>
          <w:sz w:val="20"/>
        </w:rPr>
        <w:t>Complexity: ●●●● ● ●●●● ● 4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TODAY</w:t>
            </w:r>
          </w:p>
        </w:tc>
        <w:tc>
          <w:tcPr>
            <w:tcW w:type="dxa" w:w="4320"/>
          </w:tcPr>
          <w:p>
            <w:r>
              <w:t>Hardcoded admin login · email-based module / ops toggles · plan share roles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TARGET</w:t>
            </w:r>
          </w:p>
        </w:tc>
        <w:tc>
          <w:tcPr>
            <w:tcW w:type="dxa" w:w="4320"/>
          </w:tcPr>
          <w:p>
            <w:r>
              <w:t>SSO + SCIM · RLS dimension scoping · firm / tenant-admin reference data publishing</w:t>
            </w:r>
          </w:p>
        </w:tc>
      </w:tr>
    </w:tbl>
    <w:p>
      <w:r>
        <w:rPr>
          <w:b/>
          <w:color w:val="B07B3A"/>
          <w:sz w:val="24"/>
        </w:rPr>
        <w:t>EPM &amp; Integrations</w:t>
      </w:r>
    </w:p>
    <w:p>
      <w:r>
        <w:t>Inbound (actuals, HR, GL) and outbound (Oracle EPM, Anaplan, Workday Adaptive). Rebuild target is standard versioned connectors.</w:t>
      </w:r>
    </w:p>
    <w:p>
      <w:r>
        <w:rPr>
          <w:color w:val="6A737C"/>
          <w:sz w:val="20"/>
        </w:rPr>
        <w:t>Complexity: ●●●● ● ●●●● ● 4 / 5</w:t>
      </w:r>
    </w:p>
    <w:p>
      <w:r>
        <w:rPr>
          <w:color w:val="6A737C"/>
          <w:sz w:val="20"/>
        </w:rPr>
        <w:t>Similar to: stands alone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INBOUND</w:t>
            </w:r>
          </w:p>
        </w:tc>
        <w:tc>
          <w:tcPr>
            <w:tcW w:type="dxa" w:w="4320"/>
          </w:tcPr>
          <w:p>
            <w:r>
              <w:t>ERP actuals, HR (Workday), GL chart, cost-center hierarchy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OUTBOUND</w:t>
            </w:r>
          </w:p>
        </w:tc>
        <w:tc>
          <w:tcPr>
            <w:tcW w:type="dxa" w:w="4320"/>
          </w:tcPr>
          <w:p>
            <w:r>
              <w:t>Oracle EPM, Anaplan, Workday Adaptive, BI, data lake, XLSX / PDF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6A737C"/>
                <w:sz w:val="17"/>
              </w:rPr>
              <w:t>PATTERN</w:t>
            </w:r>
          </w:p>
        </w:tc>
        <w:tc>
          <w:tcPr>
            <w:tcW w:type="dxa" w:w="4320"/>
          </w:tcPr>
          <w:p>
            <w:r>
              <w:t>Versioned connector module · schema map · chartfield crosswalk · incremental + full · retry · reconciliation report</w:t>
            </w:r>
          </w:p>
        </w:tc>
      </w:tr>
    </w:tbl>
    <w:p/>
    <w:p>
      <w:r>
        <w:rPr>
          <w:b/>
          <w:color w:val="2C5A8A"/>
          <w:sz w:val="28"/>
        </w:rPr>
        <w:t>4. WHERE DEPTH WILL MATTER</w:t>
      </w:r>
    </w:p>
    <w:p>
      <w:r>
        <w:t>Based on the gauges and tags, deeper second-pass docs should land first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Submodule</w:t>
            </w:r>
          </w:p>
        </w:tc>
        <w:tc>
          <w:tcPr>
            <w:tcW w:type="dxa" w:w="4320"/>
          </w:tcPr>
          <w:p>
            <w:r>
              <w:t>Why it needs depth</w:t>
            </w:r>
          </w:p>
        </w:tc>
      </w:tr>
      <w:tr>
        <w:tc>
          <w:tcPr>
            <w:tcW w:type="dxa" w:w="4320"/>
          </w:tcPr>
          <w:p>
            <w:r>
              <w:t>HC &amp; Compensation</w:t>
            </w:r>
          </w:p>
        </w:tc>
        <w:tc>
          <w:tcPr>
            <w:tcW w:type="dxa" w:w="4320"/>
          </w:tcPr>
          <w:p>
            <w:r>
              <w:t>Highest complexity; uniquely shaped; biggest rebuild risk; ties to reference data and FX</w:t>
            </w:r>
          </w:p>
        </w:tc>
      </w:tr>
      <w:tr>
        <w:tc>
          <w:tcPr>
            <w:tcW w:type="dxa" w:w="4320"/>
          </w:tcPr>
          <w:p>
            <w:r>
              <w:t>Collaboration &amp; Presence</w:t>
            </w:r>
          </w:p>
        </w:tc>
        <w:tc>
          <w:tcPr>
            <w:tcW w:type="dxa" w:w="4320"/>
          </w:tcPr>
          <w:p>
            <w:r>
              <w:t>Touches every module and the persistence layer; CRDT migration is the critical path</w:t>
            </w:r>
          </w:p>
        </w:tc>
      </w:tr>
      <w:tr>
        <w:tc>
          <w:tcPr>
            <w:tcW w:type="dxa" w:w="4320"/>
          </w:tcPr>
          <w:p>
            <w:r>
              <w:t>P&amp;L Walk</w:t>
            </w:r>
          </w:p>
        </w:tc>
        <w:tc>
          <w:tcPr>
            <w:tcW w:type="dxa" w:w="4320"/>
          </w:tcPr>
          <w:p>
            <w:r>
              <w:t>Aggregator — correctness is downstream of every module's calc shape</w:t>
            </w:r>
          </w:p>
        </w:tc>
      </w:tr>
      <w:tr>
        <w:tc>
          <w:tcPr>
            <w:tcW w:type="dxa" w:w="4320"/>
          </w:tcPr>
          <w:p>
            <w:r>
              <w:t>EPM &amp; Integrations</w:t>
            </w:r>
          </w:p>
        </w:tc>
        <w:tc>
          <w:tcPr>
            <w:tcW w:type="dxa" w:w="4320"/>
          </w:tcPr>
          <w:p>
            <w:r>
              <w:t>Rebuild target reframes this as standard connectors; needs schema spec per system</w:t>
            </w:r>
          </w:p>
        </w:tc>
      </w:tr>
      <w:tr>
        <w:tc>
          <w:tcPr>
            <w:tcW w:type="dxa" w:w="4320"/>
          </w:tcPr>
          <w:p>
            <w:r>
              <w:t>Vendor / T&amp;E / Other</w:t>
            </w:r>
          </w:p>
        </w:tc>
        <w:tc>
          <w:tcPr>
            <w:tcW w:type="dxa" w:w="4320"/>
          </w:tcPr>
          <w:p>
            <w:r>
              <w:t>Document once — three modules share one row shape; one rebuild covers all three</w:t>
            </w:r>
          </w:p>
        </w:tc>
      </w:tr>
    </w:tbl>
    <w:p>
      <w:r>
        <w:br w:type="page"/>
      </w:r>
    </w:p>
    <w:p/>
    <w:p>
      <w:r>
        <w:rPr>
          <w:b/>
          <w:color w:val="2C5A8A"/>
          <w:sz w:val="28"/>
        </w:rPr>
        <w:t>5. DEEP DIVES</w:t>
      </w:r>
    </w:p>
    <w:p>
      <w:r>
        <w:rPr>
          <w:color w:val="6A737C"/>
          <w:sz w:val="20"/>
        </w:rPr>
        <w:t>First-pass depth on the five priority submodules. Intentionally shallow — we iterate from here.</w:t>
      </w:r>
    </w:p>
    <w:p>
      <w:r>
        <w:rPr>
          <w:b/>
          <w:color w:val="B07B3A"/>
          <w:sz w:val="24"/>
        </w:rPr>
        <w:t>5.1 HC &amp; Compensation</w:t>
      </w:r>
    </w:p>
    <w:p>
      <w:r>
        <w:rPr>
          <w:b/>
          <w:color w:val="2A3038"/>
          <w:sz w:val="20"/>
        </w:rPr>
        <w:t>BUSINESS FRAMING</w:t>
      </w:r>
    </w:p>
    <w:p>
      <w:r>
        <w:t>The most-edited and most-material module. Drives compensation, benefits load, CapEx capitalization, and FTE rollups. Used by HR-aligned planners alongside finance.</w:t>
      </w:r>
    </w:p>
    <w:p>
      <w:r>
        <w:rPr>
          <w:b/>
          <w:color w:val="2A3038"/>
          <w:sz w:val="20"/>
        </w:rPr>
        <w:t>DATA SHAPE</w:t>
      </w:r>
    </w:p>
    <w:p>
      <w:r>
        <w:t>employees[] — name, salary, seniority, function, country, capPct, allocations[], start mo, end mo, bonus %, equity %.</w:t>
      </w:r>
    </w:p>
    <w:p>
      <w:r>
        <w:rPr>
          <w:b/>
          <w:color w:val="2A3038"/>
          <w:sz w:val="20"/>
        </w:rPr>
        <w:t>CALC RULES</w:t>
      </w:r>
    </w:p>
    <w:p>
      <w:pPr>
        <w:pStyle w:val="ListBullet"/>
      </w:pPr>
      <w:r>
        <w:t>Monthly proration based on start / end month (mid-month handled as full month today; flag for revisit).</w:t>
      </w:r>
    </w:p>
    <w:p>
      <w:pPr>
        <w:pStyle w:val="ListBullet"/>
      </w:pPr>
      <w:r>
        <w:t>Bonus % applied as annual amount and posted to a target bonus month (configurable).</w:t>
      </w:r>
    </w:p>
    <w:p>
      <w:pPr>
        <w:pStyle w:val="ListBullet"/>
      </w:pPr>
      <w:r>
        <w:t>Benefits load applied as country-specific % on top of base salary.</w:t>
      </w:r>
    </w:p>
    <w:p>
      <w:pPr>
        <w:pStyle w:val="ListBullet"/>
      </w:pPr>
      <w:r>
        <w:t>CapEx % ( capPct ) splits cost between CapEx and OpEx; flows to D&amp;A pipeline.</w:t>
      </w:r>
    </w:p>
    <w:p>
      <w:pPr>
        <w:pStyle w:val="ListBullet"/>
      </w:pPr>
      <w:r>
        <w:t>Allocation % across functional pillars routes cost lines into pivot dimensions.</w:t>
      </w:r>
    </w:p>
    <w:p>
      <w:r>
        <w:rPr>
          <w:b/>
          <w:color w:val="2A3038"/>
          <w:sz w:val="20"/>
        </w:rPr>
        <w:t>DEPENDENCIES</w:t>
      </w:r>
    </w:p>
    <w:p>
      <w:r>
        <w:t>Salary bands (admin reference) · benefits load by country (admin reference) · FX rates (future, not in v1) · pillar map · GL accounts.</w:t>
      </w:r>
    </w:p>
    <w:p>
      <w:r>
        <w:rPr>
          <w:b/>
          <w:color w:val="2A3038"/>
          <w:sz w:val="20"/>
        </w:rPr>
        <w:t>TODAY VS TARGET</w:t>
      </w:r>
    </w:p>
    <w:p>
      <w:pPr>
        <w:pStyle w:val="ListBullet"/>
      </w:pPr>
      <w:r>
        <w:t>Today: nested in state_data JSON; full-plan blob save on every edit.</w:t>
      </w:r>
    </w:p>
    <w:p>
      <w:pPr>
        <w:pStyle w:val="ListBullet"/>
      </w:pPr>
      <w:r>
        <w:t>Target: dedicated employees table with row-level versioning · reference_sets for bands / benefits / FX · per-employee audit trail.</w:t>
      </w:r>
    </w:p>
    <w:p>
      <w:r>
        <w:rPr>
          <w:b/>
          <w:color w:val="2A3038"/>
          <w:sz w:val="20"/>
        </w:rPr>
        <w:t>EDGE CASES &amp; OPEN QUESTIONS</w:t>
      </w:r>
    </w:p>
    <w:p>
      <w:pPr>
        <w:pStyle w:val="ListBullet"/>
      </w:pPr>
      <w:r>
        <w:t>Mid-month start / end and partial-month proration policy.</w:t>
      </w:r>
    </w:p>
    <w:p>
      <w:pPr>
        <w:pStyle w:val="ListBullet"/>
      </w:pPr>
      <w:r>
        <w:t>BU / market transfers mid-year (does the row split, or one row with allocation change?).</w:t>
      </w:r>
    </w:p>
    <w:p>
      <w:pPr>
        <w:pStyle w:val="ListBullet"/>
      </w:pPr>
      <w:r>
        <w:t>Equity refresh accounting and overlay vs base.</w:t>
      </w:r>
    </w:p>
    <w:p>
      <w:pPr>
        <w:pStyle w:val="ListBullet"/>
      </w:pPr>
      <w:r>
        <w:t>Contractor → employee conversion and continuity.</w:t>
      </w:r>
    </w:p>
    <w:p>
      <w:pPr>
        <w:pStyle w:val="ListBullet"/>
      </w:pPr>
      <w:r>
        <w:t>Multi-currency comp and FX restatement.</w:t>
      </w:r>
    </w:p>
    <w:p>
      <w:r>
        <w:rPr>
          <w:b/>
          <w:color w:val="B07B3A"/>
          <w:sz w:val="24"/>
        </w:rPr>
        <w:t>5.2 Collaboration &amp; Presence</w:t>
      </w:r>
    </w:p>
    <w:p>
      <w:r>
        <w:rPr>
          <w:b/>
          <w:color w:val="2A3038"/>
          <w:sz w:val="20"/>
        </w:rPr>
        <w:t>BUSINESS FRAMING</w:t>
      </w:r>
    </w:p>
    <w:p>
      <w:r>
        <w:t>Real-time multi-user editing during close and forecast cycles. Several finance users editing the same plan concurrently; loss of edits or stale views breaks trust in the data.</w:t>
      </w:r>
    </w:p>
    <w:p>
      <w:r>
        <w:rPr>
          <w:b/>
          <w:color w:val="2A3038"/>
          <w:sz w:val="20"/>
        </w:rPr>
        <w:t>TODAY'S SHAPE</w:t>
      </w:r>
    </w:p>
    <w:p>
      <w:pPr>
        <w:pStyle w:val="ListBullet"/>
      </w:pPr>
      <w:r>
        <w:t>WebSocket presence + live cursors.</w:t>
      </w:r>
    </w:p>
    <w:p>
      <w:pPr>
        <w:pStyle w:val="ListBullet"/>
      </w:pPr>
      <w:r>
        <w:t>Full state_data JSON saved on change; last-write-wins.</w:t>
      </w:r>
    </w:p>
    <w:p>
      <w:pPr>
        <w:pStyle w:val="ListBullet"/>
      </w:pPr>
      <w:r>
        <w:t>No cell-level merge; no row-level locking.</w:t>
      </w:r>
    </w:p>
    <w:p>
      <w:r>
        <w:rPr>
          <w:b/>
          <w:color w:val="2A3038"/>
          <w:sz w:val="20"/>
        </w:rPr>
        <w:t>PROBLEMS WITH TODAY</w:t>
      </w:r>
    </w:p>
    <w:p>
      <w:pPr>
        <w:pStyle w:val="ListBullet"/>
      </w:pPr>
      <w:r>
        <w:t>Lost edits under concurrent saves.</w:t>
      </w:r>
    </w:p>
    <w:p>
      <w:pPr>
        <w:pStyle w:val="ListBullet"/>
      </w:pPr>
      <w:r>
        <w:t>Large WS payloads at scale.</w:t>
      </w:r>
    </w:p>
    <w:p>
      <w:pPr>
        <w:pStyle w:val="ListBullet"/>
      </w:pPr>
      <w:r>
        <w:t>Audit trail only in client state, not in DB.</w:t>
      </w:r>
    </w:p>
    <w:p>
      <w:r>
        <w:rPr>
          <w:b/>
          <w:color w:val="2A3038"/>
          <w:sz w:val="20"/>
        </w:rPr>
        <w:t>TARGET ARCHITECTURE</w:t>
      </w:r>
    </w:p>
    <w:p>
      <w:pPr>
        <w:pStyle w:val="ListBullet"/>
      </w:pPr>
      <w:r>
        <w:t>Per-cell CRDT (or OT) doc per plan.</w:t>
      </w:r>
    </w:p>
    <w:p>
      <w:pPr>
        <w:pStyle w:val="ListBullet"/>
      </w:pPr>
      <w:r>
        <w:t>Redis pub / sub for fan-out across app instances.</w:t>
      </w:r>
    </w:p>
    <w:p>
      <w:pPr>
        <w:pStyle w:val="ListBullet"/>
      </w:pPr>
      <w:r>
        <w:t>Optimistic locking with version column; server-authoritative merge.</w:t>
      </w:r>
    </w:p>
    <w:p>
      <w:pPr>
        <w:pStyle w:val="ListBullet"/>
      </w:pPr>
      <w:r>
        <w:t>Append-only audit log partitioned by month (user, field, before, after, ts).</w:t>
      </w:r>
    </w:p>
    <w:p>
      <w:r>
        <w:rPr>
          <w:b/>
          <w:color w:val="2A3038"/>
          <w:sz w:val="20"/>
        </w:rPr>
        <w:t>FLOW</w:t>
      </w:r>
    </w:p>
    <w:p>
      <w:r>
        <w:t>Client emits ops → server validates against tenant + RLS → applies to CRDT doc → broadcasts via Redis → other clients merge → batched persist.</w:t>
      </w:r>
    </w:p>
    <w:p>
      <w:r>
        <w:rPr>
          <w:b/>
          <w:color w:val="2A3038"/>
          <w:sz w:val="20"/>
        </w:rPr>
        <w:t>RISKS &amp; OPENS</w:t>
      </w:r>
    </w:p>
    <w:p>
      <w:pPr>
        <w:pStyle w:val="ListBullet"/>
      </w:pPr>
      <w:r>
        <w:t>Replay correctness across schema evolution mid-edit.</w:t>
      </w:r>
    </w:p>
    <w:p>
      <w:pPr>
        <w:pStyle w:val="ListBullet"/>
      </w:pPr>
      <w:r>
        <w:t>Presence performance at hundreds of users.</w:t>
      </w:r>
    </w:p>
    <w:p>
      <w:pPr>
        <w:pStyle w:val="ListBullet"/>
      </w:pPr>
      <w:r>
        <w:t>Audit log growth and partitioning policy.</w:t>
      </w:r>
    </w:p>
    <w:p>
      <w:pPr>
        <w:pStyle w:val="ListBullet"/>
      </w:pPr>
      <w:r>
        <w:t>Open: which CRDT lib · cell vs row granularity · how to surface "X is editing Y" cleanly.</w:t>
      </w:r>
    </w:p>
    <w:p>
      <w:r>
        <w:rPr>
          <w:b/>
          <w:color w:val="B07B3A"/>
          <w:sz w:val="24"/>
        </w:rPr>
        <w:t>5.3 P&amp;L Walk</w:t>
      </w:r>
    </w:p>
    <w:p>
      <w:r>
        <w:rPr>
          <w:b/>
          <w:color w:val="2A3038"/>
          <w:sz w:val="20"/>
        </w:rPr>
        <w:t>BUSINESS FRAMING</w:t>
      </w:r>
    </w:p>
    <w:p>
      <w:r>
        <w:t>The canonical financial output. Every input module flows through here. Correctness here is the headline measure of system trust.</w:t>
      </w:r>
    </w:p>
    <w:p>
      <w:r>
        <w:rPr>
          <w:b/>
          <w:color w:val="2A3038"/>
          <w:sz w:val="20"/>
        </w:rPr>
        <w:t>INPUTS</w:t>
      </w:r>
    </w:p>
    <w:p>
      <w:r>
        <w:t>Every module's calc output: Revenue, C&amp;B (from HC), OAO (from Vendor + Other), CTR (from Contractors), T&amp;E, Other C&amp;B, D&amp;A.</w:t>
      </w:r>
    </w:p>
    <w:p>
      <w:r>
        <w:rPr>
          <w:b/>
          <w:color w:val="2A3038"/>
          <w:sz w:val="20"/>
        </w:rPr>
        <w:t>OUTPUT</w:t>
      </w:r>
    </w:p>
    <w:p>
      <w:r>
        <w:t>Chartfield × month grid with subtotal hierarchy (gross margin, opex, EBITDA, etc.) and scenario variance overlay.</w:t>
      </w:r>
    </w:p>
    <w:p>
      <w:r>
        <w:rPr>
          <w:b/>
          <w:color w:val="2A3038"/>
          <w:sz w:val="20"/>
        </w:rPr>
        <w:t>LOGIC</w:t>
      </w:r>
    </w:p>
    <w:p>
      <w:pPr>
        <w:pStyle w:val="ListBullet"/>
      </w:pPr>
      <w:r>
        <w:t>Sum by chartfield × month per line.</w:t>
      </w:r>
    </w:p>
    <w:p>
      <w:pPr>
        <w:pStyle w:val="ListBullet"/>
      </w:pPr>
      <w:r>
        <w:t>Subtotal hierarchy defined per tenant template.</w:t>
      </w:r>
    </w:p>
    <w:p>
      <w:pPr>
        <w:pStyle w:val="ListBullet"/>
      </w:pPr>
      <w:r>
        <w:t>Loaded-cost rollups (e.g., bonus + benefits into C&amp;B).</w:t>
      </w:r>
    </w:p>
    <w:p>
      <w:pPr>
        <w:pStyle w:val="ListBullet"/>
      </w:pPr>
      <w:r>
        <w:t>Scenario compare (budget vs forecast vs actual) with variance overlay.</w:t>
      </w:r>
    </w:p>
    <w:p>
      <w:r>
        <w:rPr>
          <w:b/>
          <w:color w:val="2A3038"/>
          <w:sz w:val="20"/>
        </w:rPr>
        <w:t>TODAY VS TARGET</w:t>
      </w:r>
    </w:p>
    <w:p>
      <w:pPr>
        <w:pStyle w:val="ListBullet"/>
      </w:pPr>
      <w:r>
        <w:t>Today: computed in client memory from state_data .</w:t>
      </w:r>
    </w:p>
    <w:p>
      <w:pPr>
        <w:pStyle w:val="ListBullet"/>
      </w:pPr>
      <w:r>
        <w:t>Target: server-side aggregation against normalized tables · materialized views per scenario · cached at chartfield rollup level.</w:t>
      </w:r>
    </w:p>
    <w:p>
      <w:r>
        <w:rPr>
          <w:b/>
          <w:color w:val="2A3038"/>
          <w:sz w:val="20"/>
        </w:rPr>
        <w:t>RISKS &amp; OPENS</w:t>
      </w:r>
    </w:p>
    <w:p>
      <w:pPr>
        <w:pStyle w:val="ListBullet"/>
      </w:pPr>
      <w:r>
        <w:t>Any module shape change ripples here — needs contract tests against golden P&amp;L fixtures.</w:t>
      </w:r>
    </w:p>
    <w:p>
      <w:pPr>
        <w:pStyle w:val="ListBullet"/>
      </w:pPr>
      <w:r>
        <w:t>Open: report builder vs hard-coded P&amp;L lines · tenant-specific subtotal hierarchies · drill-through UX.</w:t>
      </w:r>
    </w:p>
    <w:p>
      <w:r>
        <w:rPr>
          <w:b/>
          <w:color w:val="B07B3A"/>
          <w:sz w:val="24"/>
        </w:rPr>
        <w:t>5.4 EPM &amp; Integrations</w:t>
      </w:r>
    </w:p>
    <w:p>
      <w:r>
        <w:rPr>
          <w:b/>
          <w:color w:val="2A3038"/>
          <w:sz w:val="20"/>
        </w:rPr>
        <w:t>BUSINESS FRAMING</w:t>
      </w:r>
    </w:p>
    <w:p>
      <w:r>
        <w:t>Keep Trestle in sync with the firm's systems of record (ERP, HR, EPM, BI). New firms should onboard by configuring connector instances, not writing new code.</w:t>
      </w:r>
    </w:p>
    <w:p>
      <w:r>
        <w:rPr>
          <w:b/>
          <w:color w:val="2A3038"/>
          <w:sz w:val="20"/>
        </w:rPr>
        <w:t>INBOUND</w:t>
      </w:r>
    </w:p>
    <w:p>
      <w:pPr>
        <w:pStyle w:val="ListBullet"/>
      </w:pPr>
      <w:r>
        <w:t>ERP actuals (SAP / Oracle / NetSuite) → posted to state.actuals .</w:t>
      </w:r>
    </w:p>
    <w:p>
      <w:pPr>
        <w:pStyle w:val="ListBullet"/>
      </w:pPr>
      <w:r>
        <w:t>HR (Workday) → updates employees[] .</w:t>
      </w:r>
    </w:p>
    <w:p>
      <w:pPr>
        <w:pStyle w:val="ListBullet"/>
      </w:pPr>
      <w:r>
        <w:t>GL chart of accounts → accounts[] .</w:t>
      </w:r>
    </w:p>
    <w:p>
      <w:pPr>
        <w:pStyle w:val="ListBullet"/>
      </w:pPr>
      <w:r>
        <w:t>Cost-center hierarchy → bizLines[] , markets[] .</w:t>
      </w:r>
    </w:p>
    <w:p>
      <w:r>
        <w:rPr>
          <w:b/>
          <w:color w:val="2A3038"/>
          <w:sz w:val="20"/>
        </w:rPr>
        <w:t>OUTBOUND</w:t>
      </w:r>
    </w:p>
    <w:p>
      <w:pPr>
        <w:pStyle w:val="ListBullet"/>
      </w:pPr>
      <w:r>
        <w:t>Oracle EPM, Anaplan, Workday Adaptive (P&amp;L by chartfield × month).</w:t>
      </w:r>
    </w:p>
    <w:p>
      <w:pPr>
        <w:pStyle w:val="ListBullet"/>
      </w:pPr>
      <w:r>
        <w:t>BI dashboards (real-time aggregations).</w:t>
      </w:r>
    </w:p>
    <w:p>
      <w:pPr>
        <w:pStyle w:val="ListBullet"/>
      </w:pPr>
      <w:r>
        <w:t>Data lake (full state snapshots).</w:t>
      </w:r>
    </w:p>
    <w:p>
      <w:pPr>
        <w:pStyle w:val="ListBullet"/>
      </w:pPr>
      <w:r>
        <w:t>XLSX / PDF export.</w:t>
      </w:r>
    </w:p>
    <w:p>
      <w:r>
        <w:rPr>
          <w:b/>
          <w:color w:val="2A3038"/>
          <w:sz w:val="20"/>
        </w:rPr>
        <w:t>CONNECTOR PATTERN (TARGET)</w:t>
      </w:r>
    </w:p>
    <w:p>
      <w:r>
        <w:t>Every integration is a versioned connector module shipping with:</w:t>
      </w:r>
    </w:p>
    <w:p>
      <w:pPr>
        <w:pStyle w:val="ListBullet"/>
      </w:pPr>
      <w:r>
        <w:t>Schema map (Trestle field → target field).</w:t>
      </w:r>
    </w:p>
    <w:p>
      <w:pPr>
        <w:pStyle w:val="ListBullet"/>
      </w:pPr>
      <w:r>
        <w:t>Chartfield crosswalk.</w:t>
      </w:r>
    </w:p>
    <w:p>
      <w:pPr>
        <w:pStyle w:val="ListBullet"/>
      </w:pPr>
      <w:r>
        <w:t>Sync mode: incremental + full-load.</w:t>
      </w:r>
    </w:p>
    <w:p>
      <w:pPr>
        <w:pStyle w:val="ListBullet"/>
      </w:pPr>
      <w:r>
        <w:t>Retry / backoff with idempotency keys.</w:t>
      </w:r>
    </w:p>
    <w:p>
      <w:pPr>
        <w:pStyle w:val="ListBullet"/>
      </w:pPr>
      <w:r>
        <w:t>Reconciliation report (counts, sums, deltas).</w:t>
      </w:r>
    </w:p>
    <w:p>
      <w:r>
        <w:rPr>
          <w:b/>
          <w:color w:val="2A3038"/>
          <w:sz w:val="20"/>
        </w:rPr>
        <w:t>TODAY VS TARGET</w:t>
      </w:r>
    </w:p>
    <w:p>
      <w:pPr>
        <w:pStyle w:val="ListBullet"/>
      </w:pPr>
      <w:r>
        <w:t>Today: ad-hoc per integration; not versioned.</w:t>
      </w:r>
    </w:p>
    <w:p>
      <w:pPr>
        <w:pStyle w:val="ListBullet"/>
      </w:pPr>
      <w:r>
        <w:t>Target: connector registry; new firm = configure instance, not fork.</w:t>
      </w:r>
    </w:p>
    <w:p>
      <w:r>
        <w:rPr>
          <w:b/>
          <w:color w:val="2A3038"/>
          <w:sz w:val="20"/>
        </w:rPr>
        <w:t>OPENS</w:t>
      </w:r>
    </w:p>
    <w:p>
      <w:pPr>
        <w:pStyle w:val="ListBullet"/>
      </w:pPr>
      <w:r>
        <w:t>Vendor schema-change handling and version pinning.</w:t>
      </w:r>
    </w:p>
    <w:p>
      <w:pPr>
        <w:pStyle w:val="ListBullet"/>
      </w:pPr>
      <w:r>
        <w:t>SLA per connector (freshness, retry budget).</w:t>
      </w:r>
    </w:p>
    <w:p>
      <w:pPr>
        <w:pStyle w:val="ListBullet"/>
      </w:pPr>
      <w:r>
        <w:t>Vendor sandbox testing in CI.</w:t>
      </w:r>
    </w:p>
    <w:p>
      <w:r>
        <w:rPr>
          <w:b/>
          <w:color w:val="B07B3A"/>
          <w:sz w:val="24"/>
        </w:rPr>
        <w:t>5.5 Vendor / T&amp;E / Other (consolidated)</w:t>
      </w:r>
    </w:p>
    <w:p>
      <w:r>
        <w:rPr>
          <w:b/>
          <w:color w:val="2A3038"/>
          <w:sz w:val="20"/>
        </w:rPr>
        <w:t>BUSINESS FRAMING</w:t>
      </w:r>
    </w:p>
    <w:p>
      <w:r>
        <w:t>Three modules sharing one row shape — line item + chartfields + monthly amounts. Documented once because the rebuild produces one shared component used three ways.</w:t>
      </w:r>
    </w:p>
    <w:p>
      <w:r>
        <w:rPr>
          <w:b/>
          <w:color w:val="2A3038"/>
          <w:sz w:val="20"/>
        </w:rPr>
        <w:t>SHARED SHAPE</w:t>
      </w:r>
    </w:p>
    <w:p>
      <w:r>
        <w:t>rows[] with type discriminator (vendor type · expense type · C&amp;B vs OAO), description, chartfields, jan-dec.</w:t>
      </w:r>
    </w:p>
    <w:p>
      <w:r>
        <w:rPr>
          <w:b/>
          <w:color w:val="2A3038"/>
          <w:sz w:val="20"/>
        </w:rPr>
        <w:t>PER-MODULE DIFFERENCES</w:t>
      </w:r>
    </w:p>
    <w:p>
      <w:pPr>
        <w:pStyle w:val="ListBullet"/>
      </w:pPr>
      <w:r>
        <w:t>Vendor / OAO: parent co + vendor lookup against admin catalog.</w:t>
      </w:r>
    </w:p>
    <w:p>
      <w:pPr>
        <w:pStyle w:val="ListBullet"/>
      </w:pPr>
      <w:r>
        <w:t>T&amp;E: expense-type list (admin reference).</w:t>
      </w:r>
    </w:p>
    <w:p>
      <w:pPr>
        <w:pStyle w:val="ListBullet"/>
      </w:pPr>
      <w:r>
        <w:t>Other: split by C&amp;B vs OAO at the type level.</w:t>
      </w:r>
    </w:p>
    <w:p>
      <w:r>
        <w:rPr>
          <w:b/>
          <w:color w:val="2A3038"/>
          <w:sz w:val="20"/>
        </w:rPr>
        <w:t>CALC</w:t>
      </w:r>
    </w:p>
    <w:p>
      <w:r>
        <w:t>Direct monthly entry · aggregate to module total → P&amp;L line.</w:t>
      </w:r>
    </w:p>
    <w:p>
      <w:r>
        <w:rPr>
          <w:b/>
          <w:color w:val="2A3038"/>
          <w:sz w:val="20"/>
        </w:rPr>
        <w:t>REFERENCE DATA</w:t>
      </w:r>
    </w:p>
    <w:p>
      <w:r>
        <w:t>Vendor catalog · expense-type list · GL accounts · type taxonomy.</w:t>
      </w:r>
    </w:p>
    <w:p>
      <w:r>
        <w:rPr>
          <w:b/>
          <w:color w:val="2A3038"/>
          <w:sz w:val="20"/>
        </w:rPr>
        <w:t>TODAY VS TARGET</w:t>
      </w:r>
    </w:p>
    <w:p>
      <w:pPr>
        <w:pStyle w:val="ListBullet"/>
      </w:pPr>
      <w:r>
        <w:t>Today: three separate row arrays in state_data ; logic copy-pasted.</w:t>
      </w:r>
    </w:p>
    <w:p>
      <w:pPr>
        <w:pStyle w:val="ListBullet"/>
      </w:pPr>
      <w:r>
        <w:t>Target: one shared expense_rows table with type + sub_type columns · one shared grid component · each module is a configured view.</w:t>
      </w:r>
    </w:p>
    <w:p>
      <w:r>
        <w:rPr>
          <w:b/>
          <w:color w:val="2A3038"/>
          <w:sz w:val="20"/>
        </w:rPr>
        <w:t>EDGE CASES &amp; OPENS</w:t>
      </w:r>
    </w:p>
    <w:p>
      <w:pPr>
        <w:pStyle w:val="ListBullet"/>
      </w:pPr>
      <w:r>
        <w:t>PO splits across chartfields.</w:t>
      </w:r>
    </w:p>
    <w:p>
      <w:pPr>
        <w:pStyle w:val="ListBullet"/>
      </w:pPr>
      <w:r>
        <w:t>Multi-currency invoices.</w:t>
      </w:r>
    </w:p>
    <w:p>
      <w:pPr>
        <w:pStyle w:val="ListBullet"/>
      </w:pPr>
      <w:r>
        <w:t>Mid-year vendor name / consolidation changes.</w:t>
      </w:r>
    </w:p>
    <w:p>
      <w:pPr>
        <w:pStyle w:val="ListBullet"/>
      </w:pPr>
      <w:r>
        <w:t>Open: should Contractors fold into the same shape? Currently no — has rate × hours and CapEx split. Worth re-examining once the shared table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