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F25"/>
          <w:sz w:val="44"/>
        </w:rPr>
        <w:t>Trestle — Technical Brief</w:t>
      </w:r>
    </w:p>
    <w:p>
      <w:r>
        <w:rPr>
          <w:b w:val="0"/>
          <w:color w:val="6A737C"/>
          <w:sz w:val="20"/>
        </w:rPr>
        <w:t>Companion to the executive brief. Adds data shapes, calc rules, architecture details, and a submodule inventory under the new gauge framework (complexity 1-5 + "similar to" tags). Ends with deep dives on the five priority submodules.</w:t>
      </w:r>
    </w:p>
    <w:p/>
    <w:p>
      <w:r>
        <w:rPr>
          <w:b/>
          <w:color w:val="2C5A8A"/>
          <w:sz w:val="28"/>
        </w:rPr>
        <w:t>1. SYSTEM OVERVIEW</w:t>
      </w:r>
    </w:p>
    <w:p>
      <w:r>
        <w:rPr>
          <w:b w:val="0"/>
          <w:sz w:val="22"/>
        </w:rPr>
        <w:t>Multi-user FP&amp;A planning platform. One shared workspace per fiscal year holds 14 plan files: 1 AOP + 12 monthly RFs + 1 LTP. Each plan file is a state_data JSON containing every input module (revenue, HC, vendor, contractor, T&amp;E, other, D&amp;A) coded against a five-dimension chartfield grid (BU / Biz Line / Market / Project / Account).</w:t>
      </w:r>
    </w:p>
    <w:p>
      <w:r>
        <w:rPr>
          <w:b w:val="0"/>
          <w:sz w:val="22"/>
        </w:rPr>
        <w:t>Calc outputs feed a P&amp;L walk and a pivot/analytics layer. Real-time collaboration runs over a WebSocket connection with presence and live cursors; persistence today is full-state PUT per plan, with row-level PATCH and per-cell merge as rebuild targets.</w:t>
      </w:r>
    </w:p>
    <w:p>
      <w:r>
        <w:rPr>
          <w:b w:val="0"/>
          <w:sz w:val="22"/>
        </w:rPr>
        <w:t>Current scope: one midsize organization, ~40 analyst users targeted by EOY. Pilot runs on a single team. Architecture choices below are sized to support a few-hundred-user expansion later without rework, but that broader rollout is not in current scope.</w:t>
      </w:r>
    </w:p>
    <w:p/>
    <w:p>
      <w:r>
        <w:rPr>
          <w:b/>
          <w:color w:val="2C5A8A"/>
          <w:sz w:val="28"/>
        </w:rPr>
        <w:t>2. SYSTEM SPINE</w:t>
      </w:r>
    </w:p>
    <w:p>
      <w:r>
        <w:rPr>
          <w:b/>
          <w:color w:val="B07B3A"/>
          <w:sz w:val="24"/>
        </w:rPr>
        <w:t>Plan container</w:t>
      </w:r>
    </w:p>
    <w:p>
      <w:r>
        <w:rPr>
          <w:b w:val="0"/>
          <w:sz w:val="22"/>
        </w:rPr>
        <w:t>Workspace (year) holds 14 plans. Each plan is one state_data blob. Scenario types: budget forecast actual ltp . RF labels follow N+M convention (e.g., 3+9 = 3 actuals + 9 forecast months).</w:t>
      </w:r>
    </w:p>
    <w:p>
      <w:r>
        <w:rPr>
          <w:b/>
          <w:color w:val="B07B3A"/>
          <w:sz w:val="24"/>
        </w:rPr>
        <w:t>Input modules</w:t>
      </w:r>
    </w:p>
    <w:p>
      <w:r>
        <w:rPr>
          <w:b w:val="0"/>
          <w:sz w:val="22"/>
        </w:rPr>
        <w:t>Revenue · HC &amp; Comp · Vendor / OAO · Contractors · T&amp;E · Other · D&amp;A. Each row coded to chartfields plus jan-dec month columns.</w:t>
      </w:r>
    </w:p>
    <w:p>
      <w:r>
        <w:rPr>
          <w:b/>
          <w:color w:val="B07B3A"/>
          <w:sz w:val="24"/>
        </w:rPr>
        <w:t>Outputs &amp; collab</w:t>
      </w:r>
    </w:p>
    <w:p>
      <w:r>
        <w:rPr>
          <w:b w:val="0"/>
          <w:sz w:val="22"/>
        </w:rPr>
        <w:t>P&amp;L walk · pivot &amp; analytics · scenario compare. Multi-user via WebSocket presence + live cursors; full-state broadcast today, per-cell CRDT target.</w:t>
      </w:r>
    </w:p>
    <w:p/>
    <w:p>
      <w:r>
        <w:rPr>
          <w:b/>
          <w:color w:val="2C5A8A"/>
          <w:sz w:val="28"/>
        </w:rPr>
        <w:t>3. SUBMODULE INVENTORY — GAUGE FRAMEWORK</w:t>
      </w:r>
    </w:p>
    <w:p>
      <w:r>
        <w:rPr>
          <w:b w:val="0"/>
          <w:sz w:val="22"/>
        </w:rPr>
        <w:t>Each submodule below carries:</w:t>
      </w:r>
    </w:p>
    <w:p>
      <w:pPr>
        <w:pStyle w:val="ListBullet"/>
      </w:pPr>
      <w:r>
        <w:rPr>
          <w:b w:val="0"/>
          <w:sz w:val="22"/>
        </w:rPr>
        <w:t>Complexity — calc / edge-case depth on a 1-5 scale (filled dots).</w:t>
      </w:r>
    </w:p>
    <w:p>
      <w:pPr>
        <w:pStyle w:val="ListBullet"/>
      </w:pPr>
      <w:r>
        <w:rPr>
          <w:b w:val="0"/>
          <w:sz w:val="22"/>
        </w:rPr>
        <w:t>Similar to — tag list of related submodules that share shape or mechanics. "Stands alone" means no peer module mirrors it. Use the tags to spot reuse opportunities — a high-similarity cluster means one rebuild covers several modules.</w:t>
      </w:r>
    </w:p>
    <w:p>
      <w:r>
        <w:rPr>
          <w:b/>
          <w:color w:val="B07B3A"/>
          <w:sz w:val="24"/>
        </w:rPr>
        <w:t>Input Modules</w:t>
      </w:r>
    </w:p>
    <w:p>
      <w:r>
        <w:rPr>
          <w:b/>
          <w:color w:val="B07B3A"/>
          <w:sz w:val="24"/>
        </w:rPr>
        <w:t>Revenue</w:t>
      </w:r>
    </w:p>
    <w:p>
      <w:r>
        <w:rPr>
          <w:b w:val="0"/>
          <w:sz w:val="22"/>
        </w:rPr>
        <w:t>Top-line streams by chartfield × month; feeds P&amp;L, MRR / ARR derivations, and pivot.</w:t>
      </w:r>
    </w:p>
    <w:p>
      <w:r>
        <w:rPr>
          <w:b w:val="0"/>
          <w:color w:val="6A737C"/>
          <w:sz w:val="20"/>
        </w:rPr>
        <w:t>Complexity: ●●● ●● ●●● ●● 3 / 5</w:t>
      </w:r>
    </w:p>
    <w:p>
      <w:r>
        <w:rPr>
          <w:b w:val="0"/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5400"/>
          </w:tcPr>
          <w:p>
            <w:r>
              <w:t>revenueRows[] — stream, desc, chartfields, jan-dec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5400"/>
          </w:tcPr>
          <w:p>
            <w:r>
              <w:t>Total Rev, MRR, ARR → P&amp;L, Pivot, LTP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Direct monthly entry · aggregate to total · derived MRR / ARR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5400"/>
          </w:tcPr>
          <w:p>
            <w:r>
              <w:t>Chartfield dimensions, scenario type</w:t>
            </w:r>
          </w:p>
        </w:tc>
      </w:tr>
    </w:tbl>
    <w:p>
      <w:r>
        <w:rPr>
          <w:b/>
          <w:color w:val="B07B3A"/>
          <w:sz w:val="24"/>
        </w:rPr>
        <w:t>HC &amp; Compensation</w:t>
      </w:r>
    </w:p>
    <w:p>
      <w:r>
        <w:rPr>
          <w:b w:val="0"/>
          <w:sz w:val="22"/>
        </w:rPr>
        <w:t>Per-employee comp engine — most complex module; drives C&amp;B, CapEx / OpEx split, and FTE rollups.</w:t>
      </w:r>
    </w:p>
    <w:p>
      <w:r>
        <w:rPr>
          <w:b w:val="0"/>
          <w:color w:val="6A737C"/>
          <w:sz w:val="20"/>
        </w:rPr>
        <w:t>Complexity: ●●●●● ●●●●● 5 / 5</w:t>
      </w:r>
    </w:p>
    <w:p>
      <w:r>
        <w:rPr>
          <w:b w:val="0"/>
          <w:color w:val="6A737C"/>
          <w:sz w:val="20"/>
        </w:rPr>
        <w:t>Similar to: Contractors (shared rate × time + CapEx mechanics) Contractors (shared rate × time + CapEx mechanics)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5400"/>
          </w:tcPr>
          <w:p>
            <w:r>
              <w:t>employees[] — name, salary, seniority, function, country, capPct, allocations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5400"/>
          </w:tcPr>
          <w:p>
            <w:r>
              <w:t>HC, C&amp;B, CapEx, OpEx → P&amp;L, FTE chart, Pivot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Monthly proration on start / end · bonus &amp; benefit loading · CapEx % split · functional pillar allocation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5400"/>
          </w:tcPr>
          <w:p>
            <w:r>
              <w:t>Salary bands, benefits load, FX (future), pillar map</w:t>
            </w:r>
          </w:p>
        </w:tc>
      </w:tr>
    </w:tbl>
    <w:p>
      <w:r>
        <w:rPr>
          <w:b/>
          <w:color w:val="B07B3A"/>
          <w:sz w:val="24"/>
        </w:rPr>
        <w:t>Vendor / OAO</w:t>
      </w:r>
    </w:p>
    <w:p>
      <w:r>
        <w:rPr>
          <w:b w:val="0"/>
          <w:sz w:val="22"/>
        </w:rPr>
        <w:t>External spend by parent co / vendor; row shape mirrors T&amp;E and Other.</w:t>
      </w:r>
    </w:p>
    <w:p>
      <w:r>
        <w:rPr>
          <w:b w:val="0"/>
          <w:color w:val="6A737C"/>
          <w:sz w:val="20"/>
        </w:rPr>
        <w:t>Complexity: ●● ●●● ●● ●●● 2 / 5</w:t>
      </w:r>
    </w:p>
    <w:p>
      <w:r>
        <w:rPr>
          <w:b w:val="0"/>
          <w:color w:val="6A737C"/>
          <w:sz w:val="20"/>
        </w:rPr>
        <w:t>Similar to: T&amp;E Other T&amp;E Other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5400"/>
          </w:tcPr>
          <w:p>
            <w:r>
              <w:t>vendorRows[] — parent co, vendor, type, chartfields, jan-dec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5400"/>
          </w:tcPr>
          <w:p>
            <w:r>
              <w:t>OAO total → P&amp;L, Pivot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Direct monthly entry · type tagging · vendor catalog lookup (admin reference)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5400"/>
          </w:tcPr>
          <w:p>
            <w:r>
              <w:t>Vendor catalog, GL accounts</w:t>
            </w:r>
          </w:p>
        </w:tc>
      </w:tr>
    </w:tbl>
    <w:p>
      <w:r>
        <w:rPr>
          <w:b/>
          <w:color w:val="B07B3A"/>
          <w:sz w:val="24"/>
        </w:rPr>
        <w:t>Contractors</w:t>
      </w:r>
    </w:p>
    <w:p>
      <w:r>
        <w:rPr>
          <w:b w:val="0"/>
          <w:sz w:val="22"/>
        </w:rPr>
        <w:t>Rate × hours model with CapEx split; partially shares HC mechanics.</w:t>
      </w:r>
    </w:p>
    <w:p>
      <w:r>
        <w:rPr>
          <w:b w:val="0"/>
          <w:color w:val="6A737C"/>
          <w:sz w:val="20"/>
        </w:rPr>
        <w:t>Complexity: ●●● ●● ●●● ●● 3 / 5</w:t>
      </w:r>
    </w:p>
    <w:p>
      <w:r>
        <w:rPr>
          <w:b w:val="0"/>
          <w:color w:val="6A737C"/>
          <w:sz w:val="20"/>
        </w:rPr>
        <w:t>Similar to: HC &amp; Comp Vendor (partial) HC &amp; Comp Vendor (partial)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5400"/>
          </w:tcPr>
          <w:p>
            <w:r>
              <w:t>contractorRows[] — name, rate, hours, capPct, start / end mo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5400"/>
          </w:tcPr>
          <w:p>
            <w:r>
              <w:t>CTR, CapEx split → P&amp;L, Pivot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Rate × hours per month · CapEx % · proration on start / end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5400"/>
          </w:tcPr>
          <w:p>
            <w:r>
              <w:t>Admin-managed rate cards (role × geo × seniority)</w:t>
            </w:r>
          </w:p>
        </w:tc>
      </w:tr>
    </w:tbl>
    <w:p>
      <w:r>
        <w:rPr>
          <w:b/>
          <w:color w:val="B07B3A"/>
          <w:sz w:val="24"/>
        </w:rPr>
        <w:t>T&amp;E</w:t>
      </w:r>
    </w:p>
    <w:p>
      <w:r>
        <w:rPr>
          <w:b w:val="0"/>
          <w:sz w:val="22"/>
        </w:rPr>
        <w:t>Travel and expense rows; near-identical shape to Vendor and Other.</w:t>
      </w:r>
    </w:p>
    <w:p>
      <w:r>
        <w:rPr>
          <w:b w:val="0"/>
          <w:color w:val="6A737C"/>
          <w:sz w:val="20"/>
        </w:rPr>
        <w:t>Complexity: ●● ●●● ●● ●●● 2 / 5</w:t>
      </w:r>
    </w:p>
    <w:p>
      <w:r>
        <w:rPr>
          <w:b w:val="0"/>
          <w:color w:val="6A737C"/>
          <w:sz w:val="20"/>
        </w:rPr>
        <w:t>Similar to: Vendor Other Vendor Other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5400"/>
          </w:tcPr>
          <w:p>
            <w:r>
              <w:t>teRows[] — expense type, desc, chartfields, jan-dec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5400"/>
          </w:tcPr>
          <w:p>
            <w:r>
              <w:t>T&amp;E total → P&amp;L, Pivot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Direct monthly entry · type tagging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5400"/>
          </w:tcPr>
          <w:p>
            <w:r>
              <w:t>Expense-type list (admin reference)</w:t>
            </w:r>
          </w:p>
        </w:tc>
      </w:tr>
    </w:tbl>
    <w:p>
      <w:r>
        <w:rPr>
          <w:b/>
          <w:color w:val="B07B3A"/>
          <w:sz w:val="24"/>
        </w:rPr>
        <w:t>Other (C&amp;B + OAO)</w:t>
      </w:r>
    </w:p>
    <w:p>
      <w:r>
        <w:rPr>
          <w:b w:val="0"/>
          <w:sz w:val="22"/>
        </w:rPr>
        <w:t>Catch-all rows split by C&amp;B vs OAO; shape clones Vendor / T&amp;E with a type discriminator.</w:t>
      </w:r>
    </w:p>
    <w:p>
      <w:r>
        <w:rPr>
          <w:b w:val="0"/>
          <w:color w:val="6A737C"/>
          <w:sz w:val="20"/>
        </w:rPr>
        <w:t>Complexity: ●● ●●● ●● ●●● 2 / 5</w:t>
      </w:r>
    </w:p>
    <w:p>
      <w:r>
        <w:rPr>
          <w:b w:val="0"/>
          <w:color w:val="6A737C"/>
          <w:sz w:val="20"/>
        </w:rPr>
        <w:t>Similar to: Vendor T&amp;E Vendor T&amp;E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5400"/>
          </w:tcPr>
          <w:p>
            <w:r>
              <w:t>cbOtherRows[] + oaoOtherRows[]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5400"/>
          </w:tcPr>
          <w:p>
            <w:r>
              <w:t>Other C&amp;B, Other OAO → P&amp;L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Direct monthly entry · routes by type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5400"/>
          </w:tcPr>
          <w:p>
            <w:r>
              <w:t>GL accounts</w:t>
            </w:r>
          </w:p>
        </w:tc>
      </w:tr>
    </w:tbl>
    <w:p>
      <w:r>
        <w:rPr>
          <w:b/>
          <w:color w:val="B07B3A"/>
          <w:sz w:val="24"/>
        </w:rPr>
        <w:t>D&amp;A / Assets</w:t>
      </w:r>
    </w:p>
    <w:p>
      <w:r>
        <w:rPr>
          <w:b w:val="0"/>
          <w:sz w:val="22"/>
        </w:rPr>
        <w:t>Asset register + depreciation schedule; unique calc shape (multi-year).</w:t>
      </w:r>
    </w:p>
    <w:p>
      <w:r>
        <w:rPr>
          <w:b w:val="0"/>
          <w:color w:val="6A737C"/>
          <w:sz w:val="20"/>
        </w:rPr>
        <w:t>Complexity: ●●●● ● ●●●● ● 4 / 5</w:t>
      </w:r>
    </w:p>
    <w:p>
      <w:r>
        <w:rPr>
          <w:b w:val="0"/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5400"/>
          </w:tcPr>
          <w:p>
            <w:r>
              <w:t>depreciationRows[] + assetRows[]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5400"/>
          </w:tcPr>
          <w:p>
            <w:r>
              <w:t>D&amp;A schedule → P&amp;L, LTP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Method-based schedule (straight-line etc.) over useful life · in-service date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5400"/>
          </w:tcPr>
          <w:p>
            <w:r>
              <w:t>Asset register, GL accounts</w:t>
            </w:r>
          </w:p>
        </w:tc>
      </w:tr>
    </w:tbl>
    <w:p>
      <w:r>
        <w:rPr>
          <w:b/>
          <w:color w:val="B07B3A"/>
          <w:sz w:val="24"/>
        </w:rPr>
        <w:t>Output &amp; Cross-Cutting Submodules</w:t>
      </w:r>
    </w:p>
    <w:p>
      <w:r>
        <w:rPr>
          <w:b/>
          <w:color w:val="B07B3A"/>
          <w:sz w:val="24"/>
        </w:rPr>
        <w:t>P&amp;L Walk</w:t>
      </w:r>
    </w:p>
    <w:p>
      <w:r>
        <w:rPr>
          <w:b w:val="0"/>
          <w:sz w:val="22"/>
        </w:rPr>
        <w:t>Aggregates every input module to a chartfield × month grid with subtotals.</w:t>
      </w:r>
    </w:p>
    <w:p>
      <w:r>
        <w:rPr>
          <w:b w:val="0"/>
          <w:color w:val="6A737C"/>
          <w:sz w:val="20"/>
        </w:rPr>
        <w:t>Complexity: ●●●● ● ●●●● ● 4 / 5</w:t>
      </w:r>
    </w:p>
    <w:p>
      <w:r>
        <w:rPr>
          <w:b w:val="0"/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5400"/>
          </w:tcPr>
          <w:p>
            <w:r>
              <w:t>All module outputs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5400"/>
          </w:tcPr>
          <w:p>
            <w:r>
              <w:t>P&amp;L grid, subtotals, scenario compare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Sum by chartfield × month · variance vs scenario · loaded-cost rollups</w:t>
            </w:r>
          </w:p>
        </w:tc>
      </w:tr>
    </w:tbl>
    <w:p>
      <w:r>
        <w:rPr>
          <w:b/>
          <w:color w:val="B07B3A"/>
          <w:sz w:val="24"/>
        </w:rPr>
        <w:t>Pivot &amp; Analytics</w:t>
      </w:r>
    </w:p>
    <w:p>
      <w:r>
        <w:rPr>
          <w:b w:val="0"/>
          <w:sz w:val="22"/>
        </w:rPr>
        <w:t>Reshape any module data by row dimension and chart it; also handles scenario overlays.</w:t>
      </w:r>
    </w:p>
    <w:p>
      <w:r>
        <w:rPr>
          <w:b w:val="0"/>
          <w:color w:val="6A737C"/>
          <w:sz w:val="20"/>
        </w:rPr>
        <w:t>Complexity: ●●●● ● ●●●● ● 4 / 5</w:t>
      </w:r>
    </w:p>
    <w:p>
      <w:r>
        <w:rPr>
          <w:b w:val="0"/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ROW DIMS</w:t>
            </w:r>
          </w:p>
        </w:tc>
        <w:tc>
          <w:tcPr>
            <w:tcW w:type="dxa" w:w="5400"/>
          </w:tcPr>
          <w:p>
            <w:r>
              <w:t>Product, Function, BizLine, Market, Pillar, Month, Quarter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CHARTS</w:t>
            </w:r>
          </w:p>
        </w:tc>
        <w:tc>
          <w:tcPr>
            <w:tcW w:type="dxa" w:w="5400"/>
          </w:tcPr>
          <w:p>
            <w:r>
              <w:t>Bar, Line, Bubble, Scatter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Calc metrics (numerator / denominator) · scenario compare with variance overlay</w:t>
            </w:r>
          </w:p>
        </w:tc>
      </w:tr>
    </w:tbl>
    <w:p>
      <w:r>
        <w:rPr>
          <w:b/>
          <w:color w:val="B07B3A"/>
          <w:sz w:val="24"/>
        </w:rPr>
        <w:t>Spreadsheet-Style Grid</w:t>
      </w:r>
    </w:p>
    <w:p>
      <w:r>
        <w:rPr>
          <w:b w:val="0"/>
          <w:sz w:val="22"/>
        </w:rPr>
        <w:t>Cross-cutting UX layer used by every input module — single shared cell-grid behavior.</w:t>
      </w:r>
    </w:p>
    <w:p>
      <w:r>
        <w:rPr>
          <w:b w:val="0"/>
          <w:color w:val="6A737C"/>
          <w:sz w:val="20"/>
        </w:rPr>
        <w:t>Complexity: ●●● ●● ●●● ●● 3 / 5</w:t>
      </w:r>
    </w:p>
    <w:p>
      <w:r>
        <w:rPr>
          <w:b w:val="0"/>
          <w:color w:val="6A737C"/>
          <w:sz w:val="20"/>
        </w:rPr>
        <w:t>Similar to: cross-cuts every input module (shared component, not a peer)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BEHAVIOR</w:t>
            </w:r>
          </w:p>
        </w:tc>
        <w:tc>
          <w:tcPr>
            <w:tcW w:type="dxa" w:w="5400"/>
          </w:tcPr>
          <w:p>
            <w:r>
              <w:t>Tab / Enter / Arrow nav · Shift+Click range · multi-cell copy / paste · delete to clear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CLASS</w:t>
            </w:r>
          </w:p>
        </w:tc>
        <w:tc>
          <w:tcPr>
            <w:tcW w:type="dxa" w:w="5400"/>
          </w:tcPr>
          <w:p>
            <w:r>
              <w:t>.ec cells across all module grids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5400"/>
          </w:tcPr>
          <w:p>
            <w:r>
              <w:t>Single shared handler · rebuild it once and every module benefits</w:t>
            </w:r>
          </w:p>
        </w:tc>
      </w:tr>
    </w:tbl>
    <w:p>
      <w:r>
        <w:rPr>
          <w:b/>
          <w:color w:val="B07B3A"/>
          <w:sz w:val="24"/>
        </w:rPr>
        <w:t>Collaboration &amp; Presence</w:t>
      </w:r>
    </w:p>
    <w:p>
      <w:r>
        <w:rPr>
          <w:b w:val="0"/>
          <w:sz w:val="22"/>
        </w:rPr>
        <w:t>Real-time multi-user editing — currently single-blob state sync; rebuild target is cell-level CRDT.</w:t>
      </w:r>
    </w:p>
    <w:p>
      <w:r>
        <w:rPr>
          <w:b w:val="0"/>
          <w:color w:val="6A737C"/>
          <w:sz w:val="20"/>
        </w:rPr>
        <w:t>Complexity: ●●●●● ●●●●● 5 / 5</w:t>
      </w:r>
    </w:p>
    <w:p>
      <w:r>
        <w:rPr>
          <w:b w:val="0"/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TODAY</w:t>
            </w:r>
          </w:p>
        </w:tc>
        <w:tc>
          <w:tcPr>
            <w:tcW w:type="dxa" w:w="5400"/>
          </w:tcPr>
          <w:p>
            <w:r>
              <w:t>WebSocket presence · live cursors · full-state broadcast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TARGET</w:t>
            </w:r>
          </w:p>
        </w:tc>
        <w:tc>
          <w:tcPr>
            <w:tcW w:type="dxa" w:w="5400"/>
          </w:tcPr>
          <w:p>
            <w:r>
              <w:t>Per-cell CRDT, Redis pub / sub, optimistic locking, audit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RISK</w:t>
            </w:r>
          </w:p>
        </w:tc>
        <w:tc>
          <w:tcPr>
            <w:tcW w:type="dxa" w:w="5400"/>
          </w:tcPr>
          <w:p>
            <w:r>
              <w:t>Highest — touches every module + persistence layer</w:t>
            </w:r>
          </w:p>
        </w:tc>
      </w:tr>
    </w:tbl>
    <w:p>
      <w:r>
        <w:rPr>
          <w:b/>
          <w:color w:val="B07B3A"/>
          <w:sz w:val="24"/>
        </w:rPr>
        <w:t>Admin &amp; Access Control</w:t>
      </w:r>
    </w:p>
    <w:p>
      <w:r>
        <w:rPr>
          <w:b w:val="0"/>
          <w:sz w:val="22"/>
        </w:rPr>
        <w:t>User / role management plus admin-managed reference data (rate cards, benefits, FX).</w:t>
      </w:r>
    </w:p>
    <w:p>
      <w:r>
        <w:rPr>
          <w:b w:val="0"/>
          <w:color w:val="6A737C"/>
          <w:sz w:val="20"/>
        </w:rPr>
        <w:t>Complexity: ●●●● ● ●●●● ● 4 / 5</w:t>
      </w:r>
    </w:p>
    <w:p>
      <w:r>
        <w:rPr>
          <w:b w:val="0"/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TODAY</w:t>
            </w:r>
          </w:p>
        </w:tc>
        <w:tc>
          <w:tcPr>
            <w:tcW w:type="dxa" w:w="5400"/>
          </w:tcPr>
          <w:p>
            <w:r>
              <w:t>Hardcoded admin login · email-based module / ops toggles · plan share roles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TARGET</w:t>
            </w:r>
          </w:p>
        </w:tc>
        <w:tc>
          <w:tcPr>
            <w:tcW w:type="dxa" w:w="5400"/>
          </w:tcPr>
          <w:p>
            <w:r>
              <w:t>SSO + SCIM · RLS dimension scoping · firm / tenant-admin reference data publishing</w:t>
            </w:r>
          </w:p>
        </w:tc>
      </w:tr>
    </w:tbl>
    <w:p>
      <w:r>
        <w:rPr>
          <w:b/>
          <w:color w:val="B07B3A"/>
          <w:sz w:val="24"/>
        </w:rPr>
        <w:t>EPM &amp; Integrations</w:t>
      </w:r>
    </w:p>
    <w:p>
      <w:r>
        <w:rPr>
          <w:b w:val="0"/>
          <w:sz w:val="22"/>
        </w:rPr>
        <w:t>Inbound (actuals, HR, GL) and outbound (Oracle EPM, Anaplan, Workday Adaptive). Rebuild target is standard versioned connectors.</w:t>
      </w:r>
    </w:p>
    <w:p>
      <w:r>
        <w:rPr>
          <w:b w:val="0"/>
          <w:color w:val="6A737C"/>
          <w:sz w:val="20"/>
        </w:rPr>
        <w:t>Complexity: ●●●● ● ●●●● ● 4 / 5</w:t>
      </w:r>
    </w:p>
    <w:p>
      <w:r>
        <w:rPr>
          <w:b w:val="0"/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INBOUND</w:t>
            </w:r>
          </w:p>
        </w:tc>
        <w:tc>
          <w:tcPr>
            <w:tcW w:type="dxa" w:w="5400"/>
          </w:tcPr>
          <w:p>
            <w:r>
              <w:t>ERP actuals, HR (Workday), GL chart, cost-center hierarchy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OUTBOUND</w:t>
            </w:r>
          </w:p>
        </w:tc>
        <w:tc>
          <w:tcPr>
            <w:tcW w:type="dxa" w:w="5400"/>
          </w:tcPr>
          <w:p>
            <w:r>
              <w:t>Oracle EPM, Anaplan, Workday Adaptive, BI, data lake, XLSX / PDF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PATTERN</w:t>
            </w:r>
          </w:p>
        </w:tc>
        <w:tc>
          <w:tcPr>
            <w:tcW w:type="dxa" w:w="5400"/>
          </w:tcPr>
          <w:p>
            <w:r>
              <w:t>Versioned connector module · schema map · chartfield crosswalk · incremental + full · retry · reconciliation report</w:t>
            </w:r>
          </w:p>
        </w:tc>
      </w:tr>
    </w:tbl>
    <w:p>
      <w:r>
        <w:br w:type="page"/>
      </w:r>
    </w:p>
    <w:p/>
    <w:p>
      <w:r>
        <w:rPr>
          <w:b/>
          <w:color w:val="2C5A8A"/>
          <w:sz w:val="28"/>
        </w:rPr>
        <w:t>4. CURRENT VS TARGET ARCHITECTURE</w:t>
      </w:r>
    </w:p>
    <w:p>
      <w:r>
        <w:rPr>
          <w:b/>
          <w:color w:val="B07B3A"/>
          <w:sz w:val="24"/>
        </w:rPr>
        <w:t>Today</w:t>
      </w:r>
    </w:p>
    <w:p>
      <w:pPr>
        <w:pStyle w:val="ListBullet"/>
      </w:pPr>
      <w:r>
        <w:rPr>
          <w:b w:val="0"/>
          <w:sz w:val="22"/>
        </w:rPr>
        <w:t>Persistence: single state_data JSON blob per plan, full PUT on save</w:t>
      </w:r>
    </w:p>
    <w:p>
      <w:pPr>
        <w:pStyle w:val="ListBullet"/>
      </w:pPr>
      <w:r>
        <w:rPr>
          <w:b w:val="0"/>
          <w:sz w:val="22"/>
        </w:rPr>
        <w:t>Auth: hardcoded admin login + email-based module toggles</w:t>
      </w:r>
    </w:p>
    <w:p>
      <w:pPr>
        <w:pStyle w:val="ListBullet"/>
      </w:pPr>
      <w:r>
        <w:rPr>
          <w:b w:val="0"/>
          <w:sz w:val="22"/>
        </w:rPr>
        <w:t>Sync: WebSocket full-state broadcast; last-write-wins under concurrent saves</w:t>
      </w:r>
    </w:p>
    <w:p>
      <w:pPr>
        <w:pStyle w:val="ListBullet"/>
      </w:pPr>
      <w:r>
        <w:rPr>
          <w:b w:val="0"/>
          <w:sz w:val="22"/>
        </w:rPr>
        <w:t>Audit: in-memory only, not persisted to DB</w:t>
      </w:r>
    </w:p>
    <w:p>
      <w:pPr>
        <w:pStyle w:val="ListBullet"/>
      </w:pPr>
      <w:r>
        <w:rPr>
          <w:b w:val="0"/>
          <w:sz w:val="22"/>
        </w:rPr>
        <w:t>Reference data: embedded constants and informal lookups</w:t>
      </w:r>
    </w:p>
    <w:p>
      <w:pPr>
        <w:pStyle w:val="ListBullet"/>
      </w:pPr>
      <w:r>
        <w:rPr>
          <w:b w:val="0"/>
          <w:sz w:val="22"/>
        </w:rPr>
        <w:t>Integrations: ad-hoc per integration; not versioned</w:t>
      </w:r>
    </w:p>
    <w:p>
      <w:pPr>
        <w:pStyle w:val="ListBullet"/>
      </w:pPr>
      <w:r>
        <w:rPr>
          <w:b w:val="0"/>
          <w:sz w:val="22"/>
        </w:rPr>
        <w:t>Reporting: client-memory aggregation from state_data</w:t>
      </w:r>
    </w:p>
    <w:p>
      <w:r>
        <w:rPr>
          <w:b/>
          <w:color w:val="B07B3A"/>
          <w:sz w:val="24"/>
        </w:rPr>
        <w:t>Target</w:t>
      </w:r>
    </w:p>
    <w:p>
      <w:pPr>
        <w:pStyle w:val="ListBullet"/>
      </w:pPr>
      <w:r>
        <w:rPr>
          <w:b w:val="0"/>
          <w:sz w:val="22"/>
        </w:rPr>
        <w:t>Persistence: normalized tables ( employees , vendor_rows , plan_config , field_defs ) with row-level PATCH and version columns</w:t>
      </w:r>
    </w:p>
    <w:p>
      <w:pPr>
        <w:pStyle w:val="ListBullet"/>
      </w:pPr>
      <w:r>
        <w:rPr>
          <w:b w:val="0"/>
          <w:sz w:val="22"/>
        </w:rPr>
        <w:t>Auth: OAuth (Google / Azure AD), SSO + SCIM, JWT with refresh rotation, server-side sessions in Redis</w:t>
      </w:r>
    </w:p>
    <w:p>
      <w:pPr>
        <w:pStyle w:val="ListBullet"/>
      </w:pPr>
      <w:r>
        <w:rPr>
          <w:b w:val="0"/>
          <w:sz w:val="22"/>
        </w:rPr>
        <w:t>Sync: per-cell CRDT doc per plan, Redis pub/sub fan-out, optimistic locking</w:t>
      </w:r>
    </w:p>
    <w:p>
      <w:pPr>
        <w:pStyle w:val="ListBullet"/>
      </w:pPr>
      <w:r>
        <w:rPr>
          <w:b w:val="0"/>
          <w:sz w:val="22"/>
        </w:rPr>
        <w:t>Audit: append-only change_log partitioned by month (user, field, before, after, ts)</w:t>
      </w:r>
    </w:p>
    <w:p>
      <w:pPr>
        <w:pStyle w:val="ListBullet"/>
      </w:pPr>
      <w:r>
        <w:rPr>
          <w:b w:val="0"/>
          <w:sz w:val="22"/>
        </w:rPr>
        <w:t>Reference data: versioned reference_sets ; plans pin to a version</w:t>
      </w:r>
    </w:p>
    <w:p>
      <w:pPr>
        <w:pStyle w:val="ListBullet"/>
      </w:pPr>
      <w:r>
        <w:rPr>
          <w:b w:val="0"/>
          <w:sz w:val="22"/>
        </w:rPr>
        <w:t>Integrations: versioned connector modules with schema map, chartfield crosswalk, retry / idempotency, reconciliation report</w:t>
      </w:r>
    </w:p>
    <w:p>
      <w:pPr>
        <w:pStyle w:val="ListBullet"/>
      </w:pPr>
      <w:r>
        <w:rPr>
          <w:b w:val="0"/>
          <w:sz w:val="22"/>
        </w:rPr>
        <w:t>Reporting: server-side aggregation, materialized views per scenario, read replicas for reporting</w:t>
      </w:r>
    </w:p>
    <w:p>
      <w:pPr>
        <w:pStyle w:val="ListBullet"/>
      </w:pPr>
      <w:r>
        <w:rPr>
          <w:b w:val="0"/>
          <w:sz w:val="22"/>
        </w:rPr>
        <w:t>Access: PostgreSQL Row-Level Security (RLS) policies enforce dimension scoping</w:t>
      </w:r>
    </w:p>
    <w:p/>
    <w:p>
      <w:r>
        <w:rPr>
          <w:b/>
          <w:color w:val="2C5A8A"/>
          <w:sz w:val="28"/>
        </w:rPr>
        <w:t>5. WHERE DEPTH WILL MATTER</w:t>
      </w:r>
    </w:p>
    <w:p>
      <w:r>
        <w:rPr>
          <w:b w:val="0"/>
          <w:sz w:val="22"/>
        </w:rPr>
        <w:t>Based on the gauges and tags, deeper second-pass docs should land first 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Submodule</w:t>
            </w:r>
          </w:p>
        </w:tc>
        <w:tc>
          <w:tcPr>
            <w:tcW w:type="dxa" w:w="5400"/>
          </w:tcPr>
          <w:p>
            <w:r>
              <w:t>Why it needs depth</w:t>
            </w:r>
          </w:p>
        </w:tc>
      </w:tr>
      <w:tr>
        <w:tc>
          <w:tcPr>
            <w:tcW w:type="dxa" w:w="5400"/>
          </w:tcPr>
          <w:p>
            <w:r>
              <w:t>HC &amp; Compensation</w:t>
            </w:r>
          </w:p>
        </w:tc>
        <w:tc>
          <w:tcPr>
            <w:tcW w:type="dxa" w:w="5400"/>
          </w:tcPr>
          <w:p>
            <w:r>
              <w:t>Highest complexity; uniquely shaped; biggest rebuild risk; ties to reference data and FX</w:t>
            </w:r>
          </w:p>
        </w:tc>
      </w:tr>
      <w:tr>
        <w:tc>
          <w:tcPr>
            <w:tcW w:type="dxa" w:w="5400"/>
          </w:tcPr>
          <w:p>
            <w:r>
              <w:t>Collaboration &amp; Presence</w:t>
            </w:r>
          </w:p>
        </w:tc>
        <w:tc>
          <w:tcPr>
            <w:tcW w:type="dxa" w:w="5400"/>
          </w:tcPr>
          <w:p>
            <w:r>
              <w:t>Touches every module and the persistence layer; CRDT migration is the critical path</w:t>
            </w:r>
          </w:p>
        </w:tc>
      </w:tr>
      <w:tr>
        <w:tc>
          <w:tcPr>
            <w:tcW w:type="dxa" w:w="5400"/>
          </w:tcPr>
          <w:p>
            <w:r>
              <w:t>P&amp;L Walk</w:t>
            </w:r>
          </w:p>
        </w:tc>
        <w:tc>
          <w:tcPr>
            <w:tcW w:type="dxa" w:w="5400"/>
          </w:tcPr>
          <w:p>
            <w:r>
              <w:t>Aggregator — correctness is downstream of every module's calc shape</w:t>
            </w:r>
          </w:p>
        </w:tc>
      </w:tr>
      <w:tr>
        <w:tc>
          <w:tcPr>
            <w:tcW w:type="dxa" w:w="5400"/>
          </w:tcPr>
          <w:p>
            <w:r>
              <w:t>EPM &amp; Integrations</w:t>
            </w:r>
          </w:p>
        </w:tc>
        <w:tc>
          <w:tcPr>
            <w:tcW w:type="dxa" w:w="5400"/>
          </w:tcPr>
          <w:p>
            <w:r>
              <w:t>Rebuild target reframes this as standard connectors; needs schema spec per system</w:t>
            </w:r>
          </w:p>
        </w:tc>
      </w:tr>
      <w:tr>
        <w:tc>
          <w:tcPr>
            <w:tcW w:type="dxa" w:w="5400"/>
          </w:tcPr>
          <w:p>
            <w:r>
              <w:t>Vendor / T&amp;E / Other</w:t>
            </w:r>
          </w:p>
        </w:tc>
        <w:tc>
          <w:tcPr>
            <w:tcW w:type="dxa" w:w="5400"/>
          </w:tcPr>
          <w:p>
            <w:r>
              <w:t>Document once — three modules share one row shape; one rebuild covers all three</w:t>
            </w:r>
          </w:p>
        </w:tc>
      </w:tr>
    </w:tbl>
    <w:p>
      <w:r>
        <w:br w:type="page"/>
      </w:r>
    </w:p>
    <w:p/>
    <w:p>
      <w:r>
        <w:rPr>
          <w:b/>
          <w:color w:val="2C5A8A"/>
          <w:sz w:val="28"/>
        </w:rPr>
        <w:t>6. DEEP DIVES</w:t>
      </w:r>
    </w:p>
    <w:p>
      <w:r>
        <w:rPr>
          <w:b w:val="0"/>
          <w:color w:val="6A737C"/>
          <w:sz w:val="20"/>
        </w:rPr>
        <w:t>First-pass depth on the five priority submodules. Intentionally shallow — we iterate from here.</w:t>
      </w:r>
    </w:p>
    <w:p>
      <w:r>
        <w:rPr>
          <w:b/>
          <w:color w:val="B07B3A"/>
          <w:sz w:val="24"/>
        </w:rPr>
        <w:t>6.1 HC &amp; Compensation</w:t>
      </w:r>
    </w:p>
    <w:p>
      <w:r>
        <w:rPr>
          <w:b/>
          <w:color w:val="1A1F25"/>
          <w:sz w:val="20"/>
        </w:rPr>
        <w:t>DATA SHAPE</w:t>
      </w:r>
    </w:p>
    <w:p>
      <w:r>
        <w:rPr>
          <w:b w:val="0"/>
          <w:sz w:val="22"/>
        </w:rPr>
        <w:t>employees[] — name, salary, seniority, function, country, capPct, allocations[], start mo, end mo, bonus %, equity %.</w:t>
      </w:r>
    </w:p>
    <w:p>
      <w:r>
        <w:rPr>
          <w:b/>
          <w:color w:val="1A1F25"/>
          <w:sz w:val="20"/>
        </w:rPr>
        <w:t>CALC RULES</w:t>
      </w:r>
    </w:p>
    <w:p>
      <w:pPr>
        <w:pStyle w:val="ListBullet"/>
      </w:pPr>
      <w:r>
        <w:rPr>
          <w:b w:val="0"/>
          <w:sz w:val="22"/>
        </w:rPr>
        <w:t>Monthly proration based on start / end month (mid-month treated as full month today; flag for revisit).</w:t>
      </w:r>
    </w:p>
    <w:p>
      <w:pPr>
        <w:pStyle w:val="ListBullet"/>
      </w:pPr>
      <w:r>
        <w:rPr>
          <w:b w:val="0"/>
          <w:sz w:val="22"/>
        </w:rPr>
        <w:t>Bonus % posted as annual amount to a configurable target month.</w:t>
      </w:r>
    </w:p>
    <w:p>
      <w:pPr>
        <w:pStyle w:val="ListBullet"/>
      </w:pPr>
      <w:r>
        <w:rPr>
          <w:b w:val="0"/>
          <w:sz w:val="22"/>
        </w:rPr>
        <w:t>Benefits load applied as country-specific % on top of base salary.</w:t>
      </w:r>
    </w:p>
    <w:p>
      <w:pPr>
        <w:pStyle w:val="ListBullet"/>
      </w:pPr>
      <w:r>
        <w:rPr>
          <w:b w:val="0"/>
          <w:sz w:val="22"/>
        </w:rPr>
        <w:t>CapEx % ( capPct ) splits cost into CapEx and OpEx; flows into D&amp;A pipeline.</w:t>
      </w:r>
    </w:p>
    <w:p>
      <w:pPr>
        <w:pStyle w:val="ListBullet"/>
      </w:pPr>
      <w:r>
        <w:rPr>
          <w:b w:val="0"/>
          <w:sz w:val="22"/>
        </w:rPr>
        <w:t>Allocation % across functional pillars routes cost into pivot dimensions.</w:t>
      </w:r>
    </w:p>
    <w:p>
      <w:r>
        <w:rPr>
          <w:b/>
          <w:color w:val="1A1F25"/>
          <w:sz w:val="20"/>
        </w:rPr>
        <w:t>DEPENDENCIES</w:t>
      </w:r>
    </w:p>
    <w:p>
      <w:r>
        <w:rPr>
          <w:b w:val="0"/>
          <w:sz w:val="22"/>
        </w:rPr>
        <w:t>Salary bands · benefits load by country · FX rates (target) · pillar map · GL accounts.</w:t>
      </w:r>
    </w:p>
    <w:p>
      <w:r>
        <w:rPr>
          <w:b/>
          <w:color w:val="1A1F25"/>
          <w:sz w:val="20"/>
        </w:rPr>
        <w:t>TODAY VS TARGET</w:t>
      </w:r>
    </w:p>
    <w:p>
      <w:pPr>
        <w:pStyle w:val="ListBullet"/>
      </w:pPr>
      <w:r>
        <w:rPr>
          <w:b w:val="0"/>
          <w:sz w:val="22"/>
        </w:rPr>
        <w:t>Today: nested in state_data ; full-plan blob save on every edit.</w:t>
      </w:r>
    </w:p>
    <w:p>
      <w:pPr>
        <w:pStyle w:val="ListBullet"/>
      </w:pPr>
      <w:r>
        <w:rPr>
          <w:b w:val="0"/>
          <w:sz w:val="22"/>
        </w:rPr>
        <w:t>Target: dedicated employees table with row-level versioning; reference_sets for bands / benefits / FX; per-employee audit trail.</w:t>
      </w:r>
    </w:p>
    <w:p>
      <w:r>
        <w:rPr>
          <w:b/>
          <w:color w:val="1A1F25"/>
          <w:sz w:val="20"/>
        </w:rPr>
        <w:t>EDGE CASES &amp; OPENS</w:t>
      </w:r>
    </w:p>
    <w:p>
      <w:pPr>
        <w:pStyle w:val="ListBullet"/>
      </w:pPr>
      <w:r>
        <w:rPr>
          <w:b w:val="0"/>
          <w:sz w:val="22"/>
        </w:rPr>
        <w:t>Mid-month start / end and partial-month proration policy.</w:t>
      </w:r>
    </w:p>
    <w:p>
      <w:pPr>
        <w:pStyle w:val="ListBullet"/>
      </w:pPr>
      <w:r>
        <w:rPr>
          <w:b w:val="0"/>
          <w:sz w:val="22"/>
        </w:rPr>
        <w:t>BU / market transfers mid-year (split row vs allocation change).</w:t>
      </w:r>
    </w:p>
    <w:p>
      <w:pPr>
        <w:pStyle w:val="ListBullet"/>
      </w:pPr>
      <w:r>
        <w:rPr>
          <w:b w:val="0"/>
          <w:sz w:val="22"/>
        </w:rPr>
        <w:t>Equity refresh accounting and overlay vs base.</w:t>
      </w:r>
    </w:p>
    <w:p>
      <w:pPr>
        <w:pStyle w:val="ListBullet"/>
      </w:pPr>
      <w:r>
        <w:rPr>
          <w:b w:val="0"/>
          <w:sz w:val="22"/>
        </w:rPr>
        <w:t>Contractor → employee conversion and continuity.</w:t>
      </w:r>
    </w:p>
    <w:p>
      <w:pPr>
        <w:pStyle w:val="ListBullet"/>
      </w:pPr>
      <w:r>
        <w:rPr>
          <w:b w:val="0"/>
          <w:sz w:val="22"/>
        </w:rPr>
        <w:t>Multi-currency comp and FX restatement.</w:t>
      </w:r>
    </w:p>
    <w:p>
      <w:r>
        <w:rPr>
          <w:b/>
          <w:color w:val="B07B3A"/>
          <w:sz w:val="24"/>
        </w:rPr>
        <w:t>6.2 Collaboration &amp; Presence</w:t>
      </w:r>
    </w:p>
    <w:p>
      <w:r>
        <w:rPr>
          <w:b/>
          <w:color w:val="1A1F25"/>
          <w:sz w:val="20"/>
        </w:rPr>
        <w:t>TODAY'S SHAPE</w:t>
      </w:r>
    </w:p>
    <w:p>
      <w:pPr>
        <w:pStyle w:val="ListBullet"/>
      </w:pPr>
      <w:r>
        <w:rPr>
          <w:b w:val="0"/>
          <w:sz w:val="22"/>
        </w:rPr>
        <w:t>WebSocket presence + live cursors.</w:t>
      </w:r>
    </w:p>
    <w:p>
      <w:pPr>
        <w:pStyle w:val="ListBullet"/>
      </w:pPr>
      <w:r>
        <w:rPr>
          <w:b w:val="0"/>
          <w:sz w:val="22"/>
        </w:rPr>
        <w:t>Full state_data JSON saved on change; last-write-wins.</w:t>
      </w:r>
    </w:p>
    <w:p>
      <w:pPr>
        <w:pStyle w:val="ListBullet"/>
      </w:pPr>
      <w:r>
        <w:rPr>
          <w:b w:val="0"/>
          <w:sz w:val="22"/>
        </w:rPr>
        <w:t>No cell-level merge; no row-level locking.</w:t>
      </w:r>
    </w:p>
    <w:p>
      <w:pPr>
        <w:pStyle w:val="ListBullet"/>
      </w:pPr>
      <w:r>
        <w:rPr>
          <w:b w:val="0"/>
          <w:sz w:val="22"/>
        </w:rPr>
        <w:t>Audit trail in client state only.</w:t>
      </w:r>
    </w:p>
    <w:p>
      <w:r>
        <w:rPr>
          <w:b/>
          <w:color w:val="1A1F25"/>
          <w:sz w:val="20"/>
        </w:rPr>
        <w:t>PROBLEMS</w:t>
      </w:r>
    </w:p>
    <w:p>
      <w:pPr>
        <w:pStyle w:val="ListBullet"/>
      </w:pPr>
      <w:r>
        <w:rPr>
          <w:b w:val="0"/>
          <w:sz w:val="22"/>
        </w:rPr>
        <w:t>Lost edits under concurrent saves.</w:t>
      </w:r>
    </w:p>
    <w:p>
      <w:pPr>
        <w:pStyle w:val="ListBullet"/>
      </w:pPr>
      <w:r>
        <w:rPr>
          <w:b w:val="0"/>
          <w:sz w:val="22"/>
        </w:rPr>
        <w:t>Large WS payloads as plans grow.</w:t>
      </w:r>
    </w:p>
    <w:p>
      <w:pPr>
        <w:pStyle w:val="ListBullet"/>
      </w:pPr>
      <w:r>
        <w:rPr>
          <w:b w:val="0"/>
          <w:sz w:val="22"/>
        </w:rPr>
        <w:t>No persistent audit.</w:t>
      </w:r>
    </w:p>
    <w:p>
      <w:r>
        <w:rPr>
          <w:b/>
          <w:color w:val="1A1F25"/>
          <w:sz w:val="20"/>
        </w:rPr>
        <w:t>TARGET ARCHITECTURE</w:t>
      </w:r>
    </w:p>
    <w:p>
      <w:pPr>
        <w:pStyle w:val="ListBullet"/>
      </w:pPr>
      <w:r>
        <w:rPr>
          <w:b w:val="0"/>
          <w:sz w:val="22"/>
        </w:rPr>
        <w:t>Per-cell CRDT (or OT) doc per plan; server-authoritative merge.</w:t>
      </w:r>
    </w:p>
    <w:p>
      <w:pPr>
        <w:pStyle w:val="ListBullet"/>
      </w:pPr>
      <w:r>
        <w:rPr>
          <w:b w:val="0"/>
          <w:sz w:val="22"/>
        </w:rPr>
        <w:t>Redis pub / sub fan-out across app instances.</w:t>
      </w:r>
    </w:p>
    <w:p>
      <w:pPr>
        <w:pStyle w:val="ListBullet"/>
      </w:pPr>
      <w:r>
        <w:rPr>
          <w:b w:val="0"/>
          <w:sz w:val="22"/>
        </w:rPr>
        <w:t>Optimistic locking with version column.</w:t>
      </w:r>
    </w:p>
    <w:p>
      <w:pPr>
        <w:pStyle w:val="ListBullet"/>
      </w:pPr>
      <w:r>
        <w:rPr>
          <w:b w:val="0"/>
          <w:sz w:val="22"/>
        </w:rPr>
        <w:t>Append-only change_log partitioned by month.</w:t>
      </w:r>
    </w:p>
    <w:p>
      <w:r>
        <w:rPr>
          <w:b/>
          <w:color w:val="1A1F25"/>
          <w:sz w:val="20"/>
        </w:rPr>
        <w:t>FLOW</w:t>
      </w:r>
    </w:p>
    <w:p>
      <w:r>
        <w:rPr>
          <w:b w:val="0"/>
          <w:sz w:val="22"/>
        </w:rPr>
        <w:t>Client emits ops → server validates against tenant + RLS → applies to CRDT doc → broadcasts via Redis → other clients merge → batched persist.</w:t>
      </w:r>
    </w:p>
    <w:p>
      <w:r>
        <w:rPr>
          <w:b/>
          <w:color w:val="1A1F25"/>
          <w:sz w:val="20"/>
        </w:rPr>
        <w:t>RISKS &amp; OPENS</w:t>
      </w:r>
    </w:p>
    <w:p>
      <w:pPr>
        <w:pStyle w:val="ListBullet"/>
      </w:pPr>
      <w:r>
        <w:rPr>
          <w:b w:val="0"/>
          <w:sz w:val="22"/>
        </w:rPr>
        <w:t>Replay correctness across schema evolution mid-edit.</w:t>
      </w:r>
    </w:p>
    <w:p>
      <w:pPr>
        <w:pStyle w:val="ListBullet"/>
      </w:pPr>
      <w:r>
        <w:rPr>
          <w:b w:val="0"/>
          <w:sz w:val="22"/>
        </w:rPr>
        <w:t>Presence performance at hundreds of users.</w:t>
      </w:r>
    </w:p>
    <w:p>
      <w:pPr>
        <w:pStyle w:val="ListBullet"/>
      </w:pPr>
      <w:r>
        <w:rPr>
          <w:b w:val="0"/>
          <w:sz w:val="22"/>
        </w:rPr>
        <w:t>Audit log growth and partitioning policy.</w:t>
      </w:r>
    </w:p>
    <w:p>
      <w:pPr>
        <w:pStyle w:val="ListBullet"/>
      </w:pPr>
      <w:r>
        <w:rPr>
          <w:b w:val="0"/>
          <w:sz w:val="22"/>
        </w:rPr>
        <w:t>Open: which CRDT lib · cell vs row granularity · "X is editing Y" UX detail.</w:t>
      </w:r>
    </w:p>
    <w:p>
      <w:r>
        <w:rPr>
          <w:b/>
          <w:color w:val="B07B3A"/>
          <w:sz w:val="24"/>
        </w:rPr>
        <w:t>6.3 P&amp;L Walk</w:t>
      </w:r>
    </w:p>
    <w:p>
      <w:r>
        <w:rPr>
          <w:b/>
          <w:color w:val="1A1F25"/>
          <w:sz w:val="20"/>
        </w:rPr>
        <w:t>INPUTS</w:t>
      </w:r>
    </w:p>
    <w:p>
      <w:r>
        <w:rPr>
          <w:b w:val="0"/>
          <w:sz w:val="22"/>
        </w:rPr>
        <w:t>Every module's calc output: Revenue, C&amp;B (from HC), OAO (from Vendor + Other), CTR (from Contractors), T&amp;E, Other C&amp;B, D&amp;A.</w:t>
      </w:r>
    </w:p>
    <w:p>
      <w:r>
        <w:rPr>
          <w:b/>
          <w:color w:val="1A1F25"/>
          <w:sz w:val="20"/>
        </w:rPr>
        <w:t>OUTPUT</w:t>
      </w:r>
    </w:p>
    <w:p>
      <w:r>
        <w:rPr>
          <w:b w:val="0"/>
          <w:sz w:val="22"/>
        </w:rPr>
        <w:t>Chartfield × month grid with subtotal hierarchy (gross margin, opex, EBITDA) and scenario variance overlay.</w:t>
      </w:r>
    </w:p>
    <w:p>
      <w:r>
        <w:rPr>
          <w:b/>
          <w:color w:val="1A1F25"/>
          <w:sz w:val="20"/>
        </w:rPr>
        <w:t>LOGIC</w:t>
      </w:r>
    </w:p>
    <w:p>
      <w:pPr>
        <w:pStyle w:val="ListBullet"/>
      </w:pPr>
      <w:r>
        <w:rPr>
          <w:b w:val="0"/>
          <w:sz w:val="22"/>
        </w:rPr>
        <w:t>Sum by chartfield × month per line.</w:t>
      </w:r>
    </w:p>
    <w:p>
      <w:pPr>
        <w:pStyle w:val="ListBullet"/>
      </w:pPr>
      <w:r>
        <w:rPr>
          <w:b w:val="0"/>
          <w:sz w:val="22"/>
        </w:rPr>
        <w:t>Subtotal hierarchy defined per tenant template.</w:t>
      </w:r>
    </w:p>
    <w:p>
      <w:pPr>
        <w:pStyle w:val="ListBullet"/>
      </w:pPr>
      <w:r>
        <w:rPr>
          <w:b w:val="0"/>
          <w:sz w:val="22"/>
        </w:rPr>
        <w:t>Loaded-cost rollups (e.g., bonus + benefits into C&amp;B).</w:t>
      </w:r>
    </w:p>
    <w:p>
      <w:pPr>
        <w:pStyle w:val="ListBullet"/>
      </w:pPr>
      <w:r>
        <w:rPr>
          <w:b w:val="0"/>
          <w:sz w:val="22"/>
        </w:rPr>
        <w:t>Scenario compare (budget vs forecast vs actual) with variance overlay.</w:t>
      </w:r>
    </w:p>
    <w:p>
      <w:r>
        <w:rPr>
          <w:b/>
          <w:color w:val="1A1F25"/>
          <w:sz w:val="20"/>
        </w:rPr>
        <w:t>TODAY VS TARGET</w:t>
      </w:r>
    </w:p>
    <w:p>
      <w:pPr>
        <w:pStyle w:val="ListBullet"/>
      </w:pPr>
      <w:r>
        <w:rPr>
          <w:b w:val="0"/>
          <w:sz w:val="22"/>
        </w:rPr>
        <w:t>Today: computed in client memory from state_data .</w:t>
      </w:r>
    </w:p>
    <w:p>
      <w:pPr>
        <w:pStyle w:val="ListBullet"/>
      </w:pPr>
      <w:r>
        <w:rPr>
          <w:b w:val="0"/>
          <w:sz w:val="22"/>
        </w:rPr>
        <w:t>Target: server-side aggregation against normalized tables · materialized views per scenario · cached at chartfield rollup level.</w:t>
      </w:r>
    </w:p>
    <w:p>
      <w:r>
        <w:rPr>
          <w:b/>
          <w:color w:val="1A1F25"/>
          <w:sz w:val="20"/>
        </w:rPr>
        <w:t>RISKS &amp; OPENS</w:t>
      </w:r>
    </w:p>
    <w:p>
      <w:pPr>
        <w:pStyle w:val="ListBullet"/>
      </w:pPr>
      <w:r>
        <w:rPr>
          <w:b w:val="0"/>
          <w:sz w:val="22"/>
        </w:rPr>
        <w:t>Any module shape change ripples here — needs contract tests against golden P&amp;L fixtures.</w:t>
      </w:r>
    </w:p>
    <w:p>
      <w:pPr>
        <w:pStyle w:val="ListBullet"/>
      </w:pPr>
      <w:r>
        <w:rPr>
          <w:b w:val="0"/>
          <w:sz w:val="22"/>
        </w:rPr>
        <w:t>Open: report builder vs hard-coded P&amp;L lines · tenant-specific subtotal hierarchies · drill-through UX.</w:t>
      </w:r>
    </w:p>
    <w:p>
      <w:r>
        <w:rPr>
          <w:b/>
          <w:color w:val="B07B3A"/>
          <w:sz w:val="24"/>
        </w:rPr>
        <w:t>6.4 EPM &amp; Integrations</w:t>
      </w:r>
    </w:p>
    <w:p>
      <w:r>
        <w:rPr>
          <w:b/>
          <w:color w:val="1A1F25"/>
          <w:sz w:val="20"/>
        </w:rPr>
        <w:t>INBOUND</w:t>
      </w:r>
    </w:p>
    <w:p>
      <w:pPr>
        <w:pStyle w:val="ListBullet"/>
      </w:pPr>
      <w:r>
        <w:rPr>
          <w:b w:val="0"/>
          <w:sz w:val="22"/>
        </w:rPr>
        <w:t>ERP actuals (SAP / Oracle / NetSuite) → state.actuals</w:t>
      </w:r>
    </w:p>
    <w:p>
      <w:pPr>
        <w:pStyle w:val="ListBullet"/>
      </w:pPr>
      <w:r>
        <w:rPr>
          <w:b w:val="0"/>
          <w:sz w:val="22"/>
        </w:rPr>
        <w:t>HR (Workday) → employees[]</w:t>
      </w:r>
    </w:p>
    <w:p>
      <w:pPr>
        <w:pStyle w:val="ListBullet"/>
      </w:pPr>
      <w:r>
        <w:rPr>
          <w:b w:val="0"/>
          <w:sz w:val="22"/>
        </w:rPr>
        <w:t>GL chart of accounts → accounts[]</w:t>
      </w:r>
    </w:p>
    <w:p>
      <w:pPr>
        <w:pStyle w:val="ListBullet"/>
      </w:pPr>
      <w:r>
        <w:rPr>
          <w:b w:val="0"/>
          <w:sz w:val="22"/>
        </w:rPr>
        <w:t>Cost-center hierarchy → bizLines[] , markets[]</w:t>
      </w:r>
    </w:p>
    <w:p>
      <w:r>
        <w:rPr>
          <w:b/>
          <w:color w:val="1A1F25"/>
          <w:sz w:val="20"/>
        </w:rPr>
        <w:t>OUTBOUND</w:t>
      </w:r>
    </w:p>
    <w:p>
      <w:pPr>
        <w:pStyle w:val="ListBullet"/>
      </w:pPr>
      <w:r>
        <w:rPr>
          <w:b w:val="0"/>
          <w:sz w:val="22"/>
        </w:rPr>
        <w:t>Oracle EPM, Anaplan, Workday Adaptive (P&amp;L by chartfield × month)</w:t>
      </w:r>
    </w:p>
    <w:p>
      <w:pPr>
        <w:pStyle w:val="ListBullet"/>
      </w:pPr>
      <w:r>
        <w:rPr>
          <w:b w:val="0"/>
          <w:sz w:val="22"/>
        </w:rPr>
        <w:t>BI dashboards (real-time aggregations)</w:t>
      </w:r>
    </w:p>
    <w:p>
      <w:pPr>
        <w:pStyle w:val="ListBullet"/>
      </w:pPr>
      <w:r>
        <w:rPr>
          <w:b w:val="0"/>
          <w:sz w:val="22"/>
        </w:rPr>
        <w:t>Data lake (full state snapshots)</w:t>
      </w:r>
    </w:p>
    <w:p>
      <w:pPr>
        <w:pStyle w:val="ListBullet"/>
      </w:pPr>
      <w:r>
        <w:rPr>
          <w:b w:val="0"/>
          <w:sz w:val="22"/>
        </w:rPr>
        <w:t>XLSX / PDF export</w:t>
      </w:r>
    </w:p>
    <w:p>
      <w:r>
        <w:rPr>
          <w:b/>
          <w:color w:val="1A1F25"/>
          <w:sz w:val="20"/>
        </w:rPr>
        <w:t>CONNECTOR PATTERN (TARGET)</w:t>
      </w:r>
    </w:p>
    <w:p>
      <w:r>
        <w:rPr>
          <w:b w:val="0"/>
          <w:sz w:val="22"/>
        </w:rPr>
        <w:t>Every integration is a versioned connector module shipping with:</w:t>
      </w:r>
    </w:p>
    <w:p>
      <w:pPr>
        <w:pStyle w:val="ListBullet"/>
      </w:pPr>
      <w:r>
        <w:rPr>
          <w:b w:val="0"/>
          <w:sz w:val="22"/>
        </w:rPr>
        <w:t>Schema map (Trestle field → target field)</w:t>
      </w:r>
    </w:p>
    <w:p>
      <w:pPr>
        <w:pStyle w:val="ListBullet"/>
      </w:pPr>
      <w:r>
        <w:rPr>
          <w:b w:val="0"/>
          <w:sz w:val="22"/>
        </w:rPr>
        <w:t>Chartfield crosswalk</w:t>
      </w:r>
    </w:p>
    <w:p>
      <w:pPr>
        <w:pStyle w:val="ListBullet"/>
      </w:pPr>
      <w:r>
        <w:rPr>
          <w:b w:val="0"/>
          <w:sz w:val="22"/>
        </w:rPr>
        <w:t>Sync mode: incremental + full-load</w:t>
      </w:r>
    </w:p>
    <w:p>
      <w:pPr>
        <w:pStyle w:val="ListBullet"/>
      </w:pPr>
      <w:r>
        <w:rPr>
          <w:b w:val="0"/>
          <w:sz w:val="22"/>
        </w:rPr>
        <w:t>Retry / backoff with idempotency keys</w:t>
      </w:r>
    </w:p>
    <w:p>
      <w:pPr>
        <w:pStyle w:val="ListBullet"/>
      </w:pPr>
      <w:r>
        <w:rPr>
          <w:b w:val="0"/>
          <w:sz w:val="22"/>
        </w:rPr>
        <w:t>Reconciliation report (counts, sums, deltas)</w:t>
      </w:r>
    </w:p>
    <w:p>
      <w:r>
        <w:rPr>
          <w:b/>
          <w:color w:val="1A1F25"/>
          <w:sz w:val="20"/>
        </w:rPr>
        <w:t>TODAY VS TARGET</w:t>
      </w:r>
    </w:p>
    <w:p>
      <w:pPr>
        <w:pStyle w:val="ListBullet"/>
      </w:pPr>
      <w:r>
        <w:rPr>
          <w:b w:val="0"/>
          <w:sz w:val="22"/>
        </w:rPr>
        <w:t>Today: ad-hoc per integration; not versioned.</w:t>
      </w:r>
    </w:p>
    <w:p>
      <w:pPr>
        <w:pStyle w:val="ListBullet"/>
      </w:pPr>
      <w:r>
        <w:rPr>
          <w:b w:val="0"/>
          <w:sz w:val="22"/>
        </w:rPr>
        <w:t>Target: connector registry; new firm = configure instance, not fork.</w:t>
      </w:r>
    </w:p>
    <w:p>
      <w:r>
        <w:rPr>
          <w:b/>
          <w:color w:val="1A1F25"/>
          <w:sz w:val="20"/>
        </w:rPr>
        <w:t>OPENS</w:t>
      </w:r>
    </w:p>
    <w:p>
      <w:pPr>
        <w:pStyle w:val="ListBullet"/>
      </w:pPr>
      <w:r>
        <w:rPr>
          <w:b w:val="0"/>
          <w:sz w:val="22"/>
        </w:rPr>
        <w:t>Vendor schema-change handling and version pinning.</w:t>
      </w:r>
    </w:p>
    <w:p>
      <w:pPr>
        <w:pStyle w:val="ListBullet"/>
      </w:pPr>
      <w:r>
        <w:rPr>
          <w:b w:val="0"/>
          <w:sz w:val="22"/>
        </w:rPr>
        <w:t>SLA per connector (freshness, retry budget).</w:t>
      </w:r>
    </w:p>
    <w:p>
      <w:pPr>
        <w:pStyle w:val="ListBullet"/>
      </w:pPr>
      <w:r>
        <w:rPr>
          <w:b w:val="0"/>
          <w:sz w:val="22"/>
        </w:rPr>
        <w:t>Vendor sandbox testing in CI.</w:t>
      </w:r>
    </w:p>
    <w:p>
      <w:r>
        <w:rPr>
          <w:b/>
          <w:color w:val="B07B3A"/>
          <w:sz w:val="24"/>
        </w:rPr>
        <w:t>6.5 Vendor / T&amp;E / Other (consolidated)</w:t>
      </w:r>
    </w:p>
    <w:p>
      <w:r>
        <w:rPr>
          <w:b/>
          <w:color w:val="1A1F25"/>
          <w:sz w:val="20"/>
        </w:rPr>
        <w:t>SHARED SHAPE</w:t>
      </w:r>
    </w:p>
    <w:p>
      <w:r>
        <w:rPr>
          <w:b w:val="0"/>
          <w:sz w:val="22"/>
        </w:rPr>
        <w:t>rows[] with type discriminator (vendor type · expense type · C&amp;B vs OAO), description, chartfields, jan-dec.</w:t>
      </w:r>
    </w:p>
    <w:p>
      <w:r>
        <w:rPr>
          <w:b/>
          <w:color w:val="1A1F25"/>
          <w:sz w:val="20"/>
        </w:rPr>
        <w:t>PER-MODULE DIFFERENCES</w:t>
      </w:r>
    </w:p>
    <w:p>
      <w:pPr>
        <w:pStyle w:val="ListBullet"/>
      </w:pPr>
      <w:r>
        <w:rPr>
          <w:b w:val="0"/>
          <w:sz w:val="22"/>
        </w:rPr>
        <w:t>Vendor / OAO: parent co + vendor lookup against admin catalog.</w:t>
      </w:r>
    </w:p>
    <w:p>
      <w:pPr>
        <w:pStyle w:val="ListBullet"/>
      </w:pPr>
      <w:r>
        <w:rPr>
          <w:b w:val="0"/>
          <w:sz w:val="22"/>
        </w:rPr>
        <w:t>T&amp;E: expense-type list (admin reference).</w:t>
      </w:r>
    </w:p>
    <w:p>
      <w:pPr>
        <w:pStyle w:val="ListBullet"/>
      </w:pPr>
      <w:r>
        <w:rPr>
          <w:b w:val="0"/>
          <w:sz w:val="22"/>
        </w:rPr>
        <w:t>Other: split by C&amp;B vs OAO at the type level.</w:t>
      </w:r>
    </w:p>
    <w:p>
      <w:r>
        <w:rPr>
          <w:b/>
          <w:color w:val="1A1F25"/>
          <w:sz w:val="20"/>
        </w:rPr>
        <w:t>CALC</w:t>
      </w:r>
    </w:p>
    <w:p>
      <w:r>
        <w:rPr>
          <w:b w:val="0"/>
          <w:sz w:val="22"/>
        </w:rPr>
        <w:t>Direct monthly entry · aggregate to module total → P&amp;L line.</w:t>
      </w:r>
    </w:p>
    <w:p>
      <w:r>
        <w:rPr>
          <w:b/>
          <w:color w:val="1A1F25"/>
          <w:sz w:val="20"/>
        </w:rPr>
        <w:t>REFERENCE DATA</w:t>
      </w:r>
    </w:p>
    <w:p>
      <w:r>
        <w:rPr>
          <w:b w:val="0"/>
          <w:sz w:val="22"/>
        </w:rPr>
        <w:t>Vendor catalog · expense-type list · GL accounts · type taxonomy.</w:t>
      </w:r>
    </w:p>
    <w:p>
      <w:r>
        <w:rPr>
          <w:b/>
          <w:color w:val="1A1F25"/>
          <w:sz w:val="20"/>
        </w:rPr>
        <w:t>TODAY VS TARGET</w:t>
      </w:r>
    </w:p>
    <w:p>
      <w:pPr>
        <w:pStyle w:val="ListBullet"/>
      </w:pPr>
      <w:r>
        <w:rPr>
          <w:b w:val="0"/>
          <w:sz w:val="22"/>
        </w:rPr>
        <w:t>Today: three separate row arrays in state_data ; logic copy-pasted.</w:t>
      </w:r>
    </w:p>
    <w:p>
      <w:pPr>
        <w:pStyle w:val="ListBullet"/>
      </w:pPr>
      <w:r>
        <w:rPr>
          <w:b w:val="0"/>
          <w:sz w:val="22"/>
        </w:rPr>
        <w:t>Target: one shared expense_rows table with type + sub_type columns · one shared grid component · each module is a configured view.</w:t>
      </w:r>
    </w:p>
    <w:p>
      <w:r>
        <w:rPr>
          <w:b/>
          <w:color w:val="1A1F25"/>
          <w:sz w:val="20"/>
        </w:rPr>
        <w:t>EDGE CASES &amp; OPENS</w:t>
      </w:r>
    </w:p>
    <w:p>
      <w:pPr>
        <w:pStyle w:val="ListBullet"/>
      </w:pPr>
      <w:r>
        <w:rPr>
          <w:b w:val="0"/>
          <w:sz w:val="22"/>
        </w:rPr>
        <w:t>PO splits across chartfields.</w:t>
      </w:r>
    </w:p>
    <w:p>
      <w:pPr>
        <w:pStyle w:val="ListBullet"/>
      </w:pPr>
      <w:r>
        <w:rPr>
          <w:b w:val="0"/>
          <w:sz w:val="22"/>
        </w:rPr>
        <w:t>Multi-currency invoices.</w:t>
      </w:r>
    </w:p>
    <w:p>
      <w:pPr>
        <w:pStyle w:val="ListBullet"/>
      </w:pPr>
      <w:r>
        <w:rPr>
          <w:b w:val="0"/>
          <w:sz w:val="22"/>
        </w:rPr>
        <w:t>Mid-year vendor name / consolidation changes.</w:t>
      </w:r>
    </w:p>
    <w:p>
      <w:pPr>
        <w:pStyle w:val="ListBullet"/>
      </w:pPr>
      <w:r>
        <w:rPr>
          <w:b w:val="0"/>
          <w:sz w:val="22"/>
        </w:rPr>
        <w:t>Open: should Contractors fold into the same shape? Currently no — has rate × hours and CapEx split. Worth re-examining once the shared table exists.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