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F25"/>
          <w:sz w:val="44"/>
        </w:rPr>
        <w:t>Trestle — Executive Brief</w:t>
      </w:r>
    </w:p>
    <w:p>
      <w:r>
        <w:rPr>
          <w:b w:val="0"/>
          <w:color w:val="6A737C"/>
          <w:sz w:val="20"/>
        </w:rPr>
        <w:t>For finance and finance-tech leads. Frames what the platform does today, where it's going, and the financial structure underpinning both. Plain language; technical terms defined in footnotes where unavoidable.</w:t>
      </w:r>
    </w:p>
    <w:p/>
    <w:p>
      <w:r>
        <w:rPr>
          <w:b/>
          <w:color w:val="2C5A8A"/>
          <w:sz w:val="28"/>
        </w:rPr>
        <w:t>1. WHAT TRESTLE IS</w:t>
      </w:r>
    </w:p>
    <w:p>
      <w:r>
        <w:rPr>
          <w:b w:val="0"/>
          <w:sz w:val="22"/>
        </w:rPr>
        <w:t>Trestle is a planning platform for finance teams. Each fiscal year lives in one shared workspace that holds 14 plans : one Annual Operating Plan (AOP), twelve monthly Rolling Forecasts (RF), and one Long-Term Plan (LTP). Every plan is built from the same set of input modules — revenue, headcount and compensation, vendor spend, contractors, travel and expense, other costs, and depreciation — coded against a common chartfield grid so any view rolls up consistently.</w:t>
      </w:r>
    </w:p>
    <w:p>
      <w:r>
        <w:rPr>
          <w:b w:val="0"/>
          <w:sz w:val="22"/>
        </w:rPr>
        <w:t>Output is the same for every plan: a P&amp;L walk, a pivot/analytics layer for slicing the numbers, and scenario comparisons between budget, forecast, and actuals. Multiple users edit the same plan at the same time with live presence indicators.</w:t>
      </w:r>
    </w:p>
    <w:p/>
    <w:p>
      <w:r>
        <w:rPr>
          <w:b/>
          <w:color w:val="2C5A8A"/>
          <w:sz w:val="28"/>
        </w:rPr>
        <w:t>2. WHO USES IT</w:t>
      </w:r>
    </w:p>
    <w:p>
      <w:r>
        <w:rPr>
          <w:b/>
          <w:color w:val="B07B3A"/>
          <w:sz w:val="24"/>
        </w:rPr>
        <w:t>FP&amp;A planners</w:t>
      </w:r>
    </w:p>
    <w:p>
      <w:r>
        <w:rPr>
          <w:b w:val="0"/>
          <w:sz w:val="22"/>
        </w:rPr>
        <w:t>Build the AOP, refresh the monthly Rolling Forecast, run scenario compares, and produce P&amp;L variance views for leadership.</w:t>
      </w:r>
    </w:p>
    <w:p>
      <w:r>
        <w:rPr>
          <w:b/>
          <w:color w:val="B07B3A"/>
          <w:sz w:val="24"/>
        </w:rPr>
        <w:t>Finance partners (BU / function)</w:t>
      </w:r>
    </w:p>
    <w:p>
      <w:r>
        <w:rPr>
          <w:b w:val="0"/>
          <w:sz w:val="22"/>
        </w:rPr>
        <w:t>Maintain the parts of the plan they own — headcount for their team, vendor spend for their cost centers — with chartfield coding handled in-line.</w:t>
      </w:r>
    </w:p>
    <w:p>
      <w:r>
        <w:rPr>
          <w:b/>
          <w:color w:val="B07B3A"/>
          <w:sz w:val="24"/>
        </w:rPr>
        <w:t>Finance leadership</w:t>
      </w:r>
    </w:p>
    <w:p>
      <w:r>
        <w:rPr>
          <w:b w:val="0"/>
          <w:sz w:val="22"/>
        </w:rPr>
        <w:t>Reviews scenario comparisons, P&amp;L walks, and FTE / cost rollups across business units, markets, projects, and accounts.</w:t>
      </w:r>
    </w:p>
    <w:p>
      <w:r>
        <w:rPr>
          <w:b/>
          <w:color w:val="B07B3A"/>
          <w:sz w:val="24"/>
        </w:rPr>
        <w:t>Finance-tech / admin</w:t>
      </w:r>
    </w:p>
    <w:p>
      <w:r>
        <w:rPr>
          <w:b w:val="0"/>
          <w:sz w:val="22"/>
        </w:rPr>
        <w:t>Maintains shared reference data (rate cards, benefits load, salary bands, vendor catalog), publishes new plan templates, and manages user access.</w:t>
      </w:r>
    </w:p>
    <w:p/>
    <w:p>
      <w:r>
        <w:rPr>
          <w:b/>
          <w:color w:val="2C5A8A"/>
          <w:sz w:val="28"/>
        </w:rPr>
        <w:t>3. FINANCIAL STRUCTURE</w:t>
      </w:r>
    </w:p>
    <w:p>
      <w:r>
        <w:rPr>
          <w:b/>
          <w:color w:val="B07B3A"/>
          <w:sz w:val="24"/>
        </w:rPr>
        <w:t>Plan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Plan</w:t>
            </w:r>
          </w:p>
        </w:tc>
        <w:tc>
          <w:tcPr>
            <w:tcW w:type="dxa" w:w="3600"/>
          </w:tcPr>
          <w:p>
            <w:r>
              <w:t>Cadence</w:t>
            </w:r>
          </w:p>
        </w:tc>
        <w:tc>
          <w:tcPr>
            <w:tcW w:type="dxa" w:w="3600"/>
          </w:tcPr>
          <w:p>
            <w:r>
              <w:t>Use</w:t>
            </w:r>
          </w:p>
        </w:tc>
      </w:tr>
      <w:tr>
        <w:tc>
          <w:tcPr>
            <w:tcW w:type="dxa" w:w="3600"/>
          </w:tcPr>
          <w:p>
            <w:r>
              <w:t>AOP — Annual Operating Plan</w:t>
            </w:r>
          </w:p>
        </w:tc>
        <w:tc>
          <w:tcPr>
            <w:tcW w:type="dxa" w:w="3600"/>
          </w:tcPr>
          <w:p>
            <w:r>
              <w:t>Once a year</w:t>
            </w:r>
          </w:p>
        </w:tc>
        <w:tc>
          <w:tcPr>
            <w:tcW w:type="dxa" w:w="3600"/>
          </w:tcPr>
          <w:p>
            <w:r>
              <w:t>Full-year budget across all accounts; baseline for the fiscal year.</w:t>
            </w:r>
          </w:p>
        </w:tc>
      </w:tr>
      <w:tr>
        <w:tc>
          <w:tcPr>
            <w:tcW w:type="dxa" w:w="3600"/>
          </w:tcPr>
          <w:p>
            <w:r>
              <w:t>RF — Rolling Forecast</w:t>
            </w:r>
          </w:p>
        </w:tc>
        <w:tc>
          <w:tcPr>
            <w:tcW w:type="dxa" w:w="3600"/>
          </w:tcPr>
          <w:p>
            <w:r>
              <w:t>Monthly (12 per year)</w:t>
            </w:r>
          </w:p>
        </w:tc>
        <w:tc>
          <w:tcPr>
            <w:tcW w:type="dxa" w:w="3600"/>
          </w:tcPr>
          <w:p>
            <w:r>
              <w:t>Re-forecast remaining year using actuals to date plus updated forward view. Labeled by actual + forecast split (e.g., 3+9 = three months actual, nine forecast).</w:t>
            </w:r>
          </w:p>
        </w:tc>
      </w:tr>
      <w:tr>
        <w:tc>
          <w:tcPr>
            <w:tcW w:type="dxa" w:w="3600"/>
          </w:tcPr>
          <w:p>
            <w:r>
              <w:t>LTP — Long-Term Plan</w:t>
            </w:r>
          </w:p>
        </w:tc>
        <w:tc>
          <w:tcPr>
            <w:tcW w:type="dxa" w:w="3600"/>
          </w:tcPr>
          <w:p>
            <w:r>
              <w:t>Annual</w:t>
            </w:r>
          </w:p>
        </w:tc>
        <w:tc>
          <w:tcPr>
            <w:tcW w:type="dxa" w:w="3600"/>
          </w:tcPr>
          <w:p>
            <w:r>
              <w:t>Multi-year forward view (typically five years) for strategic planning.</w:t>
            </w:r>
          </w:p>
        </w:tc>
      </w:tr>
    </w:tbl>
    <w:p>
      <w:r>
        <w:rPr>
          <w:b/>
          <w:color w:val="B07B3A"/>
          <w:sz w:val="24"/>
        </w:rPr>
        <w:t>Input modules (the building blocks of every plan)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Module</w:t>
            </w:r>
          </w:p>
        </w:tc>
        <w:tc>
          <w:tcPr>
            <w:tcW w:type="dxa" w:w="3600"/>
          </w:tcPr>
          <w:p>
            <w:r>
              <w:t>What it captures</w:t>
            </w:r>
          </w:p>
        </w:tc>
        <w:tc>
          <w:tcPr>
            <w:tcW w:type="dxa" w:w="3600"/>
          </w:tcPr>
          <w:p>
            <w:r>
              <w:t>Output line</w:t>
            </w:r>
          </w:p>
        </w:tc>
      </w:tr>
      <w:tr>
        <w:tc>
          <w:tcPr>
            <w:tcW w:type="dxa" w:w="3600"/>
          </w:tcPr>
          <w:p>
            <w:r>
              <w:t>Revenue</w:t>
            </w:r>
          </w:p>
        </w:tc>
        <w:tc>
          <w:tcPr>
            <w:tcW w:type="dxa" w:w="3600"/>
          </w:tcPr>
          <w:p>
            <w:r>
              <w:t>Top-line streams by chartfield, month by month</w:t>
            </w:r>
          </w:p>
        </w:tc>
        <w:tc>
          <w:tcPr>
            <w:tcW w:type="dxa" w:w="3600"/>
          </w:tcPr>
          <w:p>
            <w:r>
              <w:t>Total revenue, MRR, ARR</w:t>
            </w:r>
          </w:p>
        </w:tc>
      </w:tr>
      <w:tr>
        <w:tc>
          <w:tcPr>
            <w:tcW w:type="dxa" w:w="3600"/>
          </w:tcPr>
          <w:p>
            <w:r>
              <w:t>Headcount &amp; Compensation</w:t>
            </w:r>
          </w:p>
        </w:tc>
        <w:tc>
          <w:tcPr>
            <w:tcW w:type="dxa" w:w="3600"/>
          </w:tcPr>
          <w:p>
            <w:r>
              <w:t>Per-employee plan: salary, bonus, benefits, capitalization split, allocation</w:t>
            </w:r>
          </w:p>
        </w:tc>
        <w:tc>
          <w:tcPr>
            <w:tcW w:type="dxa" w:w="3600"/>
          </w:tcPr>
          <w:p>
            <w:r>
              <w:t>HC, C&amp;B, CapEx vs OpEx</w:t>
            </w:r>
          </w:p>
        </w:tc>
      </w:tr>
      <w:tr>
        <w:tc>
          <w:tcPr>
            <w:tcW w:type="dxa" w:w="3600"/>
          </w:tcPr>
          <w:p>
            <w:r>
              <w:t>Vendor / OAO</w:t>
            </w:r>
          </w:p>
        </w:tc>
        <w:tc>
          <w:tcPr>
            <w:tcW w:type="dxa" w:w="3600"/>
          </w:tcPr>
          <w:p>
            <w:r>
              <w:t>External spend by parent company and vendor</w:t>
            </w:r>
          </w:p>
        </w:tc>
        <w:tc>
          <w:tcPr>
            <w:tcW w:type="dxa" w:w="3600"/>
          </w:tcPr>
          <w:p>
            <w:r>
              <w:t>OAO total</w:t>
            </w:r>
          </w:p>
        </w:tc>
      </w:tr>
      <w:tr>
        <w:tc>
          <w:tcPr>
            <w:tcW w:type="dxa" w:w="3600"/>
          </w:tcPr>
          <w:p>
            <w:r>
              <w:t>Contractors</w:t>
            </w:r>
          </w:p>
        </w:tc>
        <w:tc>
          <w:tcPr>
            <w:tcW w:type="dxa" w:w="3600"/>
          </w:tcPr>
          <w:p>
            <w:r>
              <w:t>Non-employee labor: rate × hours, capitalization split</w:t>
            </w:r>
          </w:p>
        </w:tc>
        <w:tc>
          <w:tcPr>
            <w:tcW w:type="dxa" w:w="3600"/>
          </w:tcPr>
          <w:p>
            <w:r>
              <w:t>Contractor cost, CapEx split</w:t>
            </w:r>
          </w:p>
        </w:tc>
      </w:tr>
      <w:tr>
        <w:tc>
          <w:tcPr>
            <w:tcW w:type="dxa" w:w="3600"/>
          </w:tcPr>
          <w:p>
            <w:r>
              <w:t>Travel &amp; Expense</w:t>
            </w:r>
          </w:p>
        </w:tc>
        <w:tc>
          <w:tcPr>
            <w:tcW w:type="dxa" w:w="3600"/>
          </w:tcPr>
          <w:p>
            <w:r>
              <w:t>Travel and other discretionary expense lines</w:t>
            </w:r>
          </w:p>
        </w:tc>
        <w:tc>
          <w:tcPr>
            <w:tcW w:type="dxa" w:w="3600"/>
          </w:tcPr>
          <w:p>
            <w:r>
              <w:t>T&amp;E total</w:t>
            </w:r>
          </w:p>
        </w:tc>
      </w:tr>
      <w:tr>
        <w:tc>
          <w:tcPr>
            <w:tcW w:type="dxa" w:w="3600"/>
          </w:tcPr>
          <w:p>
            <w:r>
              <w:t>Other</w:t>
            </w:r>
          </w:p>
        </w:tc>
        <w:tc>
          <w:tcPr>
            <w:tcW w:type="dxa" w:w="3600"/>
          </w:tcPr>
          <w:p>
            <w:r>
              <w:t>Catch-all for C&amp;B and OAO items not captured elsewhere</w:t>
            </w:r>
          </w:p>
        </w:tc>
        <w:tc>
          <w:tcPr>
            <w:tcW w:type="dxa" w:w="3600"/>
          </w:tcPr>
          <w:p>
            <w:r>
              <w:t>Other C&amp;B, Other OAO</w:t>
            </w:r>
          </w:p>
        </w:tc>
      </w:tr>
      <w:tr>
        <w:tc>
          <w:tcPr>
            <w:tcW w:type="dxa" w:w="3600"/>
          </w:tcPr>
          <w:p>
            <w:r>
              <w:t>Depreciation &amp; Assets</w:t>
            </w:r>
          </w:p>
        </w:tc>
        <w:tc>
          <w:tcPr>
            <w:tcW w:type="dxa" w:w="3600"/>
          </w:tcPr>
          <w:p>
            <w:r>
              <w:t>Asset register and depreciation schedule</w:t>
            </w:r>
          </w:p>
        </w:tc>
        <w:tc>
          <w:tcPr>
            <w:tcW w:type="dxa" w:w="3600"/>
          </w:tcPr>
          <w:p>
            <w:r>
              <w:t>D&amp;A schedule</w:t>
            </w:r>
          </w:p>
        </w:tc>
      </w:tr>
    </w:tbl>
    <w:p>
      <w:r>
        <w:rPr>
          <w:b/>
          <w:color w:val="B07B3A"/>
          <w:sz w:val="24"/>
        </w:rPr>
        <w:t>Chartfield grid (the coding spine)</w:t>
      </w:r>
    </w:p>
    <w:p>
      <w:r>
        <w:rPr>
          <w:b w:val="0"/>
          <w:sz w:val="22"/>
        </w:rPr>
        <w:t>Every line in every module is coded against the same five dimensions. This is what allows any number to roll up cleanly into the P&amp;L and any pivot view.</w:t>
      </w:r>
    </w:p>
    <w:p>
      <w:r>
        <w:rPr>
          <w:b w:val="0"/>
          <w:sz w:val="22"/>
        </w:rPr>
        <w:t>Business Unit Business Line Market Project Account</w:t>
      </w:r>
    </w:p>
    <w:p>
      <w:r>
        <w:rPr>
          <w:b w:val="0"/>
          <w:color w:val="6A737C"/>
          <w:sz w:val="20"/>
        </w:rPr>
        <w:t>A single rate card change, salary band update, or vendor consolidation flows through every plan that uses those dimensions — no parallel updates required.</w:t>
      </w:r>
    </w:p>
    <w:p/>
    <w:p>
      <w:r>
        <w:rPr>
          <w:b/>
          <w:color w:val="2C5A8A"/>
          <w:sz w:val="28"/>
        </w:rPr>
        <w:t>4. GRANULARITY — WHAT SITS BEHIND EACH LINE</w:t>
      </w:r>
    </w:p>
    <w:p>
      <w:r>
        <w:rPr>
          <w:b w:val="0"/>
          <w:sz w:val="22"/>
        </w:rPr>
        <w:t>Trestle plans at the line level, not the rollup level. That means each cost line in the P&amp;L is built from real underlying records — the planner can drill from any total back to the contributing rows without leaving the platform.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Module</w:t>
            </w:r>
          </w:p>
        </w:tc>
        <w:tc>
          <w:tcPr>
            <w:tcW w:type="dxa" w:w="5400"/>
          </w:tcPr>
          <w:p>
            <w:r>
              <w:t>What "one row" represents</w:t>
            </w:r>
          </w:p>
        </w:tc>
      </w:tr>
      <w:tr>
        <w:tc>
          <w:tcPr>
            <w:tcW w:type="dxa" w:w="5400"/>
          </w:tcPr>
          <w:p>
            <w:r>
              <w:t>Revenue</w:t>
            </w:r>
          </w:p>
        </w:tc>
        <w:tc>
          <w:tcPr>
            <w:tcW w:type="dxa" w:w="5400"/>
          </w:tcPr>
          <w:p>
            <w:r>
              <w:t>One revenue stream per chartfield combination, with monthly amounts</w:t>
            </w:r>
          </w:p>
        </w:tc>
      </w:tr>
      <w:tr>
        <w:tc>
          <w:tcPr>
            <w:tcW w:type="dxa" w:w="5400"/>
          </w:tcPr>
          <w:p>
            <w:r>
              <w:t>Headcount</w:t>
            </w:r>
          </w:p>
        </w:tc>
        <w:tc>
          <w:tcPr>
            <w:tcW w:type="dxa" w:w="5400"/>
          </w:tcPr>
          <w:p>
            <w:r>
              <w:t>One employee — name, salary, function, country, capitalization %, allocation across pillars</w:t>
            </w:r>
          </w:p>
        </w:tc>
      </w:tr>
      <w:tr>
        <w:tc>
          <w:tcPr>
            <w:tcW w:type="dxa" w:w="5400"/>
          </w:tcPr>
          <w:p>
            <w:r>
              <w:t>Vendor</w:t>
            </w:r>
          </w:p>
        </w:tc>
        <w:tc>
          <w:tcPr>
            <w:tcW w:type="dxa" w:w="5400"/>
          </w:tcPr>
          <w:p>
            <w:r>
              <w:t>One vendor relationship per parent company per chartfield</w:t>
            </w:r>
          </w:p>
        </w:tc>
      </w:tr>
      <w:tr>
        <w:tc>
          <w:tcPr>
            <w:tcW w:type="dxa" w:w="5400"/>
          </w:tcPr>
          <w:p>
            <w:r>
              <w:t>Contractor</w:t>
            </w:r>
          </w:p>
        </w:tc>
        <w:tc>
          <w:tcPr>
            <w:tcW w:type="dxa" w:w="5400"/>
          </w:tcPr>
          <w:p>
            <w:r>
              <w:t>One contractor with rate, hours, start / end month, capitalization split</w:t>
            </w:r>
          </w:p>
        </w:tc>
      </w:tr>
      <w:tr>
        <w:tc>
          <w:tcPr>
            <w:tcW w:type="dxa" w:w="5400"/>
          </w:tcPr>
          <w:p>
            <w:r>
              <w:t>T&amp;E / Other</w:t>
            </w:r>
          </w:p>
        </w:tc>
        <w:tc>
          <w:tcPr>
            <w:tcW w:type="dxa" w:w="5400"/>
          </w:tcPr>
          <w:p>
            <w:r>
              <w:t>One expense line with type, description, chartfields</w:t>
            </w:r>
          </w:p>
        </w:tc>
      </w:tr>
      <w:tr>
        <w:tc>
          <w:tcPr>
            <w:tcW w:type="dxa" w:w="5400"/>
          </w:tcPr>
          <w:p>
            <w:r>
              <w:t>D&amp;A / Assets</w:t>
            </w:r>
          </w:p>
        </w:tc>
        <w:tc>
          <w:tcPr>
            <w:tcW w:type="dxa" w:w="5400"/>
          </w:tcPr>
          <w:p>
            <w:r>
              <w:t>One asset with depreciation method, cost, useful life, in-service date</w:t>
            </w:r>
          </w:p>
        </w:tc>
      </w:tr>
    </w:tbl>
    <w:p>
      <w:r>
        <w:rPr>
          <w:b w:val="0"/>
          <w:color w:val="6A737C"/>
          <w:sz w:val="20"/>
        </w:rPr>
        <w:t>This is the difference between Trestle and a top-down spreadsheet: every line is auditable to its underlying drivers, and changes in one driver (e.g., a salary band update) propagate consistently.</w:t>
      </w:r>
    </w:p>
    <w:p/>
    <w:p>
      <w:r>
        <w:rPr>
          <w:b/>
          <w:color w:val="2C5A8A"/>
          <w:sz w:val="28"/>
        </w:rPr>
        <w:t>5. FEATURES (USER-FACING CAPABILITIES)</w:t>
      </w:r>
    </w:p>
    <w:p>
      <w:r>
        <w:rPr>
          <w:b/>
          <w:color w:val="B07B3A"/>
          <w:sz w:val="24"/>
        </w:rPr>
        <w:t>Spreadsheet-style entry</w:t>
      </w:r>
    </w:p>
    <w:p>
      <w:r>
        <w:rPr>
          <w:b w:val="0"/>
          <w:sz w:val="22"/>
        </w:rPr>
        <w:t>Every grid behaves like a spreadsheet — keyboard navigation, range selection, copy/paste, bulk delete — so finance users move through the plan at the speed they expect.</w:t>
      </w:r>
    </w:p>
    <w:p>
      <w:r>
        <w:rPr>
          <w:b/>
          <w:color w:val="B07B3A"/>
          <w:sz w:val="24"/>
        </w:rPr>
        <w:t>Real-time multi-user editing</w:t>
      </w:r>
    </w:p>
    <w:p>
      <w:r>
        <w:rPr>
          <w:b w:val="0"/>
          <w:sz w:val="22"/>
        </w:rPr>
        <w:t>Multiple users edit the same plan simultaneously. Live cursors show who is in which section. State stays in sync without manual refresh.</w:t>
      </w:r>
    </w:p>
    <w:p>
      <w:r>
        <w:rPr>
          <w:b/>
          <w:color w:val="B07B3A"/>
          <w:sz w:val="24"/>
        </w:rPr>
        <w:t>Scenario comparison</w:t>
      </w:r>
    </w:p>
    <w:p>
      <w:r>
        <w:rPr>
          <w:b w:val="0"/>
          <w:sz w:val="22"/>
        </w:rPr>
        <w:t>Compare any two plans (Budget vs Forecast, Forecast vs Actual, Forecast vs Forecast) with variance overlay on every view.</w:t>
      </w:r>
    </w:p>
    <w:p>
      <w:r>
        <w:rPr>
          <w:b/>
          <w:color w:val="B07B3A"/>
          <w:sz w:val="24"/>
        </w:rPr>
        <w:t>Pivot and analytics</w:t>
      </w:r>
    </w:p>
    <w:p>
      <w:r>
        <w:rPr>
          <w:b w:val="0"/>
          <w:sz w:val="22"/>
        </w:rPr>
        <w:t>Reshape any module's data by Product, Function, Business Line, Market, Pillar, Month, or Quarter. Charts include bar, line, bubble, and scatter; calculated metrics support custom ratios.</w:t>
      </w:r>
    </w:p>
    <w:p>
      <w:r>
        <w:rPr>
          <w:b/>
          <w:color w:val="B07B3A"/>
          <w:sz w:val="24"/>
        </w:rPr>
        <w:t>P&amp;L walk</w:t>
      </w:r>
    </w:p>
    <w:p>
      <w:r>
        <w:rPr>
          <w:b w:val="0"/>
          <w:sz w:val="22"/>
        </w:rPr>
        <w:t>Every input module rolls into the P&amp;L automatically — no separate consolidation step. Subtotals (gross margin, opex, EBITDA) are produced from a single source of truth.</w:t>
      </w:r>
    </w:p>
    <w:p>
      <w:r>
        <w:rPr>
          <w:b/>
          <w:color w:val="B07B3A"/>
          <w:sz w:val="24"/>
        </w:rPr>
        <w:t>Export</w:t>
      </w:r>
    </w:p>
    <w:p>
      <w:r>
        <w:rPr>
          <w:b w:val="0"/>
          <w:sz w:val="22"/>
        </w:rPr>
        <w:t>Any view exports cleanly to Excel or PDF; charts copy to clipboard for quick reuse in board materials.</w:t>
      </w:r>
    </w:p>
    <w:p>
      <w:r>
        <w:br w:type="page"/>
      </w:r>
    </w:p>
    <w:p/>
    <w:p>
      <w:r>
        <w:rPr>
          <w:b/>
          <w:color w:val="2C5A8A"/>
          <w:sz w:val="28"/>
        </w:rPr>
        <w:t>6. CURRENT STATE VS IDEAL STATE</w:t>
      </w:r>
    </w:p>
    <w:p>
      <w:r>
        <w:rPr>
          <w:b w:val="0"/>
          <w:color w:val="6A737C"/>
          <w:sz w:val="20"/>
        </w:rPr>
        <w:t>A side-by-side of what exists today and what the rebuild is targeting. Same conceptual model — the change is in robustness, scale, and integration, not in how a planner thinks about a plan.</w:t>
      </w:r>
    </w:p>
    <w:p>
      <w:r>
        <w:rPr>
          <w:b/>
          <w:color w:val="B07B3A"/>
          <w:sz w:val="24"/>
        </w:rPr>
        <w:t>Today</w:t>
      </w:r>
    </w:p>
    <w:p>
      <w:r>
        <w:rPr>
          <w:b/>
          <w:color w:val="1A1F25"/>
          <w:sz w:val="20"/>
        </w:rPr>
        <w:t>PLAN STRUCTURE</w:t>
      </w:r>
    </w:p>
    <w:p>
      <w:pPr>
        <w:pStyle w:val="ListBullet"/>
      </w:pPr>
      <w:r>
        <w:rPr>
          <w:b w:val="0"/>
          <w:sz w:val="22"/>
        </w:rPr>
        <w:t>14 plans per year (AOP, 12 RFs, LTP) in one shared workspace</w:t>
      </w:r>
    </w:p>
    <w:p>
      <w:pPr>
        <w:pStyle w:val="ListBullet"/>
      </w:pPr>
      <w:r>
        <w:rPr>
          <w:b w:val="0"/>
          <w:sz w:val="22"/>
        </w:rPr>
        <w:t>All input modules and chartfields wired in</w:t>
      </w:r>
    </w:p>
    <w:p>
      <w:r>
        <w:rPr>
          <w:b/>
          <w:color w:val="1A1F25"/>
          <w:sz w:val="20"/>
        </w:rPr>
        <w:t>COLLABORATION</w:t>
      </w:r>
    </w:p>
    <w:p>
      <w:pPr>
        <w:pStyle w:val="ListBullet"/>
      </w:pPr>
      <w:r>
        <w:rPr>
          <w:b w:val="0"/>
          <w:sz w:val="22"/>
        </w:rPr>
        <w:t>Live presence and cursors</w:t>
      </w:r>
    </w:p>
    <w:p>
      <w:pPr>
        <w:pStyle w:val="ListBullet"/>
      </w:pPr>
      <w:r>
        <w:rPr>
          <w:b w:val="0"/>
          <w:sz w:val="22"/>
        </w:rPr>
        <w:t>Last edit wins under simultaneous saves 1</w:t>
      </w:r>
    </w:p>
    <w:p>
      <w:r>
        <w:rPr>
          <w:b/>
          <w:color w:val="1A1F25"/>
          <w:sz w:val="20"/>
        </w:rPr>
        <w:t>ACCESS CONTROL</w:t>
      </w:r>
    </w:p>
    <w:p>
      <w:pPr>
        <w:pStyle w:val="ListBullet"/>
      </w:pPr>
      <w:r>
        <w:rPr>
          <w:b w:val="0"/>
          <w:sz w:val="22"/>
        </w:rPr>
        <w:t>Single admin login + email-based access toggles</w:t>
      </w:r>
    </w:p>
    <w:p>
      <w:pPr>
        <w:pStyle w:val="ListBullet"/>
      </w:pPr>
      <w:r>
        <w:rPr>
          <w:b w:val="0"/>
          <w:sz w:val="22"/>
        </w:rPr>
        <w:t>Plans shared with viewer / editor roles</w:t>
      </w:r>
    </w:p>
    <w:p>
      <w:r>
        <w:rPr>
          <w:b/>
          <w:color w:val="1A1F25"/>
          <w:sz w:val="20"/>
        </w:rPr>
        <w:t>REFERENCE DATA</w:t>
      </w:r>
    </w:p>
    <w:p>
      <w:pPr>
        <w:pStyle w:val="ListBullet"/>
      </w:pPr>
      <w:r>
        <w:rPr>
          <w:b w:val="0"/>
          <w:sz w:val="22"/>
        </w:rPr>
        <w:t>Salary bands, rate cards, benefits exist informally — not centrally maintained</w:t>
      </w:r>
    </w:p>
    <w:p>
      <w:r>
        <w:rPr>
          <w:b/>
          <w:color w:val="1A1F25"/>
          <w:sz w:val="20"/>
        </w:rPr>
        <w:t>INTEGRATION WITH OTHER SYSTEMS</w:t>
      </w:r>
    </w:p>
    <w:p>
      <w:pPr>
        <w:pStyle w:val="ListBullet"/>
      </w:pPr>
      <w:r>
        <w:rPr>
          <w:b w:val="0"/>
          <w:sz w:val="22"/>
        </w:rPr>
        <w:t>Manual import / export to ERP, HR, and EPM systems 2</w:t>
      </w:r>
    </w:p>
    <w:p>
      <w:r>
        <w:rPr>
          <w:b/>
          <w:color w:val="1A1F25"/>
          <w:sz w:val="20"/>
        </w:rPr>
        <w:t>AUDIT</w:t>
      </w:r>
    </w:p>
    <w:p>
      <w:pPr>
        <w:pStyle w:val="ListBullet"/>
      </w:pPr>
      <w:r>
        <w:rPr>
          <w:b w:val="0"/>
          <w:sz w:val="22"/>
        </w:rPr>
        <w:t>Limited — change history is in-session, not persisted</w:t>
      </w:r>
    </w:p>
    <w:p>
      <w:r>
        <w:rPr>
          <w:b/>
          <w:color w:val="B07B3A"/>
          <w:sz w:val="24"/>
        </w:rPr>
        <w:t>Ideal state</w:t>
      </w:r>
    </w:p>
    <w:p>
      <w:r>
        <w:rPr>
          <w:b/>
          <w:color w:val="1A1F25"/>
          <w:sz w:val="20"/>
        </w:rPr>
        <w:t>PLAN STRUCTURE</w:t>
      </w:r>
    </w:p>
    <w:p>
      <w:pPr>
        <w:pStyle w:val="ListBullet"/>
      </w:pPr>
      <w:r>
        <w:rPr>
          <w:b w:val="0"/>
          <w:sz w:val="22"/>
        </w:rPr>
        <w:t>Same 14-plan model — no change in the planner's mental model</w:t>
      </w:r>
    </w:p>
    <w:p>
      <w:pPr>
        <w:pStyle w:val="ListBullet"/>
      </w:pPr>
      <w:r>
        <w:rPr>
          <w:b w:val="0"/>
          <w:sz w:val="22"/>
        </w:rPr>
        <w:t>Each module saved as discrete records, not as one big plan blob — enables row-level undo, partial saves, and faster loads</w:t>
      </w:r>
    </w:p>
    <w:p>
      <w:r>
        <w:rPr>
          <w:b/>
          <w:color w:val="1A1F25"/>
          <w:sz w:val="20"/>
        </w:rPr>
        <w:t>COLLABORATION</w:t>
      </w:r>
    </w:p>
    <w:p>
      <w:pPr>
        <w:pStyle w:val="ListBullet"/>
      </w:pPr>
      <w:r>
        <w:rPr>
          <w:b w:val="0"/>
          <w:sz w:val="22"/>
        </w:rPr>
        <w:t>True cell-by-cell merge — no lost edits when two users save at once</w:t>
      </w:r>
    </w:p>
    <w:p>
      <w:pPr>
        <w:pStyle w:val="ListBullet"/>
      </w:pPr>
      <w:r>
        <w:rPr>
          <w:b w:val="0"/>
          <w:sz w:val="22"/>
        </w:rPr>
        <w:t>Optional row / section locking during close periods</w:t>
      </w:r>
    </w:p>
    <w:p>
      <w:r>
        <w:rPr>
          <w:b/>
          <w:color w:val="1A1F25"/>
          <w:sz w:val="20"/>
        </w:rPr>
        <w:t>ACCESS CONTROL</w:t>
      </w:r>
    </w:p>
    <w:p>
      <w:pPr>
        <w:pStyle w:val="ListBullet"/>
      </w:pPr>
      <w:r>
        <w:rPr>
          <w:b w:val="0"/>
          <w:sz w:val="22"/>
        </w:rPr>
        <w:t>Single sign-on (SSO) 3 with corporate identity</w:t>
      </w:r>
    </w:p>
    <w:p>
      <w:pPr>
        <w:pStyle w:val="ListBullet"/>
      </w:pPr>
      <w:r>
        <w:rPr>
          <w:b w:val="0"/>
          <w:sz w:val="22"/>
        </w:rPr>
        <w:t>Access scoped by chartfield dimension (e.g., a planner sees only their market or business line)</w:t>
      </w:r>
    </w:p>
    <w:p>
      <w:r>
        <w:rPr>
          <w:b/>
          <w:color w:val="1A1F25"/>
          <w:sz w:val="20"/>
        </w:rPr>
        <w:t>REFERENCE DATA</w:t>
      </w:r>
    </w:p>
    <w:p>
      <w:pPr>
        <w:pStyle w:val="ListBullet"/>
      </w:pPr>
      <w:r>
        <w:rPr>
          <w:b w:val="0"/>
          <w:sz w:val="22"/>
        </w:rPr>
        <w:t>Centrally maintained, versioned reference sets — rate cards, benefits load, salary bands, FX rates, vendor catalog, GL chart of accounts</w:t>
      </w:r>
    </w:p>
    <w:p>
      <w:pPr>
        <w:pStyle w:val="ListBullet"/>
      </w:pPr>
      <w:r>
        <w:rPr>
          <w:b w:val="0"/>
          <w:sz w:val="22"/>
        </w:rPr>
        <w:t>Plans pin to a version so a published rate change does not retroactively alter a closed plan</w:t>
      </w:r>
    </w:p>
    <w:p>
      <w:r>
        <w:rPr>
          <w:b/>
          <w:color w:val="1A1F25"/>
          <w:sz w:val="20"/>
        </w:rPr>
        <w:t>INTEGRATION WITH OTHER SYSTEMS</w:t>
      </w:r>
    </w:p>
    <w:p>
      <w:pPr>
        <w:pStyle w:val="ListBullet"/>
      </w:pPr>
      <w:r>
        <w:rPr>
          <w:b w:val="0"/>
          <w:sz w:val="22"/>
        </w:rPr>
        <w:t>Standard, versioned connectors to ERP, HR, EPM, BI, and data lake</w:t>
      </w:r>
    </w:p>
    <w:p>
      <w:pPr>
        <w:pStyle w:val="ListBullet"/>
      </w:pPr>
      <w:r>
        <w:rPr>
          <w:b w:val="0"/>
          <w:sz w:val="22"/>
        </w:rPr>
        <w:t>New firm onboarding = configure connector, not custom build</w:t>
      </w:r>
    </w:p>
    <w:p>
      <w:r>
        <w:rPr>
          <w:b/>
          <w:color w:val="1A1F25"/>
          <w:sz w:val="20"/>
        </w:rPr>
        <w:t>AUDIT</w:t>
      </w:r>
    </w:p>
    <w:p>
      <w:pPr>
        <w:pStyle w:val="ListBullet"/>
      </w:pPr>
      <w:r>
        <w:rPr>
          <w:b w:val="0"/>
          <w:sz w:val="22"/>
        </w:rPr>
        <w:t>Full change history persisted — who changed what, when, and from what value</w:t>
      </w:r>
    </w:p>
    <w:p/>
    <w:p>
      <w:r>
        <w:rPr>
          <w:b/>
          <w:color w:val="2C5A8A"/>
          <w:sz w:val="28"/>
        </w:rPr>
        <w:t>7. ROADMAP — PILOT TO ~40 ANALYST USERS BY EOY</w:t>
      </w:r>
    </w:p>
    <w:p>
      <w:r>
        <w:rPr>
          <w:b w:val="0"/>
          <w:color w:val="6A737C"/>
          <w:sz w:val="20"/>
        </w:rPr>
        <w:t>Current scope is one midsize organization. The pilot runs on a single team within that org; full rollout reaches roughly 40 analyst users by year-end. A broader opportunity (a few hundred or more users across adjacent teams or the wider firm) sits beyond the current engagement — design and infrastructure choices are sized to make that expansion possible without rework.</w:t>
      </w:r>
    </w:p>
    <w:p>
      <w:r>
        <w:rPr>
          <w:b/>
          <w:color w:val="B07B3A"/>
          <w:sz w:val="24"/>
        </w:rPr>
        <w:t>Phase 1 — Pilot (1 team, in-org)</w:t>
      </w:r>
    </w:p>
    <w:p>
      <w:r>
        <w:rPr>
          <w:b w:val="0"/>
          <w:sz w:val="22"/>
        </w:rPr>
        <w:t>Goal: get the full target stack working end-to-end on one team, with everything below in place before opening up to the rest of the org.</w:t>
      </w:r>
    </w:p>
    <w:p>
      <w:pPr>
        <w:pStyle w:val="ListBullet"/>
      </w:pPr>
      <w:r>
        <w:rPr>
          <w:b w:val="0"/>
          <w:sz w:val="22"/>
        </w:rPr>
        <w:t>SSO login with corporate identity</w:t>
      </w:r>
    </w:p>
    <w:p>
      <w:pPr>
        <w:pStyle w:val="ListBullet"/>
      </w:pPr>
      <w:r>
        <w:rPr>
          <w:b w:val="0"/>
          <w:sz w:val="22"/>
        </w:rPr>
        <w:t>Module-level and dimension-level access controls</w:t>
      </w:r>
    </w:p>
    <w:p>
      <w:pPr>
        <w:pStyle w:val="ListBullet"/>
      </w:pPr>
      <w:r>
        <w:rPr>
          <w:b w:val="0"/>
          <w:sz w:val="22"/>
        </w:rPr>
        <w:t>Cell-level real-time merge — no lost edits under concurrent editing</w:t>
      </w:r>
    </w:p>
    <w:p>
      <w:pPr>
        <w:pStyle w:val="ListBullet"/>
      </w:pPr>
      <w:r>
        <w:rPr>
          <w:b w:val="0"/>
          <w:sz w:val="22"/>
        </w:rPr>
        <w:t>Persisted change history</w:t>
      </w:r>
    </w:p>
    <w:p>
      <w:pPr>
        <w:pStyle w:val="ListBullet"/>
      </w:pPr>
      <w:r>
        <w:rPr>
          <w:b w:val="0"/>
          <w:sz w:val="22"/>
        </w:rPr>
        <w:t>Centralized reference data (rate cards, benefits, salary bands, FX, vendor catalog)</w:t>
      </w:r>
    </w:p>
    <w:p>
      <w:pPr>
        <w:pStyle w:val="ListBullet"/>
      </w:pPr>
      <w:r>
        <w:rPr>
          <w:b w:val="0"/>
          <w:sz w:val="22"/>
        </w:rPr>
        <w:t>At least one inbound and one outbound integration validated end-to-end</w:t>
      </w:r>
    </w:p>
    <w:p>
      <w:pPr>
        <w:pStyle w:val="ListBullet"/>
      </w:pPr>
      <w:r>
        <w:rPr>
          <w:b w:val="0"/>
          <w:sz w:val="22"/>
        </w:rPr>
        <w:t>Automated test suite covering calc accuracy, save reliability, and integration round-trips</w:t>
      </w:r>
    </w:p>
    <w:p>
      <w:r>
        <w:rPr>
          <w:b w:val="0"/>
          <w:sz w:val="22"/>
        </w:rPr>
        <w:t>Exit criteria: a full close cycle run on Trestle with zero data loss, validated integration round-trips, and a green automated regression suite.</w:t>
      </w:r>
    </w:p>
    <w:p>
      <w:r>
        <w:rPr>
          <w:b/>
          <w:color w:val="B07B3A"/>
          <w:sz w:val="24"/>
        </w:rPr>
        <w:t>Phase 2 — Org rollout to ~40 analyst users by EOY</w:t>
      </w:r>
    </w:p>
    <w:p>
      <w:r>
        <w:rPr>
          <w:b w:val="0"/>
          <w:sz w:val="22"/>
        </w:rPr>
        <w:t>Open the platform to the rest of the organization in measured cohorts after the pilot exit criteria are met. Each cohort has explicit checks before the next opens.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Checkpoint</w:t>
            </w:r>
          </w:p>
        </w:tc>
        <w:tc>
          <w:tcPr>
            <w:tcW w:type="dxa" w:w="5400"/>
          </w:tcPr>
          <w:p>
            <w:r>
              <w:t>What gets validated before adding more users</w:t>
            </w:r>
          </w:p>
        </w:tc>
      </w:tr>
      <w:tr>
        <w:tc>
          <w:tcPr>
            <w:tcW w:type="dxa" w:w="5400"/>
          </w:tcPr>
          <w:p>
            <w:r>
              <w:t>Pilot → first additional team</w:t>
            </w:r>
          </w:p>
        </w:tc>
        <w:tc>
          <w:tcPr>
            <w:tcW w:type="dxa" w:w="5400"/>
          </w:tcPr>
          <w:p>
            <w:r>
              <w:t>Reference data published org-wide · access scoping verified · save / merge stability under double the pilot load</w:t>
            </w:r>
          </w:p>
        </w:tc>
      </w:tr>
      <w:tr>
        <w:tc>
          <w:tcPr>
            <w:tcW w:type="dxa" w:w="5400"/>
          </w:tcPr>
          <w:p>
            <w:r>
              <w:t>~20 users</w:t>
            </w:r>
          </w:p>
        </w:tc>
        <w:tc>
          <w:tcPr>
            <w:tcW w:type="dxa" w:w="5400"/>
          </w:tcPr>
          <w:p>
            <w:r>
              <w:t>Concurrent-edit stress · integration freshness checks · audit log completeness</w:t>
            </w:r>
          </w:p>
        </w:tc>
      </w:tr>
      <w:tr>
        <w:tc>
          <w:tcPr>
            <w:tcW w:type="dxa" w:w="5400"/>
          </w:tcPr>
          <w:p>
            <w:r>
              <w:t>~40 users (EOY target)</w:t>
            </w:r>
          </w:p>
        </w:tc>
        <w:tc>
          <w:tcPr>
            <w:tcW w:type="dxa" w:w="5400"/>
          </w:tcPr>
          <w:p>
            <w:r>
              <w:t>Capacity headroom plan · documented runbooks · close-cycle dry run with the full org cohort</w:t>
            </w:r>
          </w:p>
        </w:tc>
      </w:tr>
    </w:tbl>
    <w:p>
      <w:r>
        <w:rPr>
          <w:b/>
          <w:color w:val="B07B3A"/>
          <w:sz w:val="24"/>
        </w:rPr>
        <w:t>Beyond current scope</w:t>
      </w:r>
    </w:p>
    <w:p>
      <w:r>
        <w:rPr>
          <w:b w:val="0"/>
          <w:sz w:val="22"/>
        </w:rPr>
        <w:t>A few hundred or more users in adjacent teams or across the broader firm is a real opportunity but is not in current scope. Design and infrastructure decisions taken in Phase 1 (normalized data, dimension-scoped access, versioned connectors) are deliberately sized to support that expansion — so the path is shortened, not pre-built.</w:t>
      </w:r>
    </w:p>
    <w:p/>
    <w:p>
      <w:r>
        <w:rPr>
          <w:b/>
          <w:color w:val="2C5A8A"/>
          <w:sz w:val="28"/>
        </w:rPr>
        <w:t>8. EXPECTED TIME SAVINGS</w:t>
      </w:r>
    </w:p>
    <w:p>
      <w:r>
        <w:rPr>
          <w:b w:val="0"/>
          <w:sz w:val="22"/>
        </w:rPr>
        <w:t>Roughly 100 hours recovered per analyst, annually , once Phase 1 capabilities are live across the org. Estimate based on observed pilot workflows.</w:t>
      </w:r>
    </w:p>
    <w:p>
      <w:pPr>
        <w:pStyle w:val="ListBullet"/>
      </w:pPr>
      <w:r>
        <w:rPr>
          <w:b w:val="0"/>
          <w:sz w:val="22"/>
        </w:rPr>
        <w:t>~60% of the savings sit in the AOP cycle — planning entry, reconciliation, scenario compare, and review cycles compress meaningfully. The remaining ~40% is spread across monthly Rolling Forecast and Long-Term Plan work.</w:t>
      </w:r>
    </w:p>
    <w:p>
      <w:pPr>
        <w:pStyle w:val="ListBullet"/>
      </w:pPr>
      <w:r>
        <w:rPr>
          <w:b w:val="0"/>
          <w:sz w:val="22"/>
        </w:rPr>
        <w:t>~70% of the savings are driven by streamlined load and system integration tools — the spreadsheet-style grid plus standard connectors to ERP, HR, and EPM systems remove most of the manual import / export and reconciliation work that dominates the current cycle. The remaining ~30% comes from real-time collaboration, scenario tooling, and reduced rework from concurrent-edit issues.</w:t>
      </w:r>
    </w:p>
    <w:p>
      <w:r>
        <w:rPr>
          <w:b w:val="0"/>
          <w:color w:val="6A737C"/>
          <w:sz w:val="20"/>
        </w:rPr>
        <w:t>The two cuts are different views of the same 100 hours — by planning phase (AOP vs RF vs LTP) and by feature category (load &amp; integration vs other) — so they overlap rather than add. The single biggest block is AOP work that gets faster because integration tools eliminate manual reconciliation against ERP and HR data.</w:t>
      </w:r>
    </w:p>
    <w:p>
      <w:r>
        <w:rPr>
          <w:b w:val="0"/>
          <w:color w:val="6A737C"/>
          <w:sz w:val="20"/>
        </w:rPr>
        <w:t>At the EOY scope (~40 analysts), this scales to roughly 4,000 hours per year recovered across the organization.</w:t>
      </w:r>
    </w:p>
    <w:p/>
    <w:p>
      <w:r>
        <w:rPr>
          <w:b/>
          <w:color w:val="2C5A8A"/>
          <w:sz w:val="28"/>
        </w:rPr>
        <w:t>9. WHAT THIS BUYS THE BUSINESS</w:t>
      </w:r>
    </w:p>
    <w:p>
      <w:r>
        <w:rPr>
          <w:b/>
          <w:color w:val="B07B3A"/>
          <w:sz w:val="24"/>
        </w:rPr>
        <w:t>For finance teams</w:t>
      </w:r>
    </w:p>
    <w:p>
      <w:pPr>
        <w:pStyle w:val="ListBullet"/>
      </w:pPr>
      <w:r>
        <w:rPr>
          <w:b w:val="0"/>
          <w:sz w:val="22"/>
        </w:rPr>
        <w:t>Faster close — fewer manual reconciliations, fewer parallel spreadsheets</w:t>
      </w:r>
    </w:p>
    <w:p>
      <w:pPr>
        <w:pStyle w:val="ListBullet"/>
      </w:pPr>
      <w:r>
        <w:rPr>
          <w:b w:val="0"/>
          <w:sz w:val="22"/>
        </w:rPr>
        <w:t>One source of truth for plan, forecast, and actuals</w:t>
      </w:r>
    </w:p>
    <w:p>
      <w:pPr>
        <w:pStyle w:val="ListBullet"/>
      </w:pPr>
      <w:r>
        <w:rPr>
          <w:b w:val="0"/>
          <w:sz w:val="22"/>
        </w:rPr>
        <w:t>Drill-through from any P&amp;L line to the underlying drivers in seconds</w:t>
      </w:r>
    </w:p>
    <w:p>
      <w:pPr>
        <w:pStyle w:val="ListBullet"/>
      </w:pPr>
      <w:r>
        <w:rPr>
          <w:b w:val="0"/>
          <w:sz w:val="22"/>
        </w:rPr>
        <w:t>No more lost edits during concurrent close work</w:t>
      </w:r>
    </w:p>
    <w:p>
      <w:r>
        <w:rPr>
          <w:b/>
          <w:color w:val="B07B3A"/>
          <w:sz w:val="24"/>
        </w:rPr>
        <w:t>For the firm</w:t>
      </w:r>
    </w:p>
    <w:p>
      <w:pPr>
        <w:pStyle w:val="ListBullet"/>
      </w:pPr>
      <w:r>
        <w:rPr>
          <w:b w:val="0"/>
          <w:sz w:val="22"/>
        </w:rPr>
        <w:t>Consistent chartfield discipline across business units</w:t>
      </w:r>
    </w:p>
    <w:p>
      <w:pPr>
        <w:pStyle w:val="ListBullet"/>
      </w:pPr>
      <w:r>
        <w:rPr>
          <w:b w:val="0"/>
          <w:sz w:val="22"/>
        </w:rPr>
        <w:t>Audit trail that satisfies internal review and external audit requests</w:t>
      </w:r>
    </w:p>
    <w:p>
      <w:pPr>
        <w:pStyle w:val="ListBullet"/>
      </w:pPr>
      <w:r>
        <w:rPr>
          <w:b w:val="0"/>
          <w:sz w:val="22"/>
        </w:rPr>
        <w:t>Standardized integration with the firm's systems of record — no bespoke pipelines per team</w:t>
      </w:r>
    </w:p>
    <w:p>
      <w:pPr>
        <w:pStyle w:val="ListBullet"/>
      </w:pPr>
      <w:r>
        <w:rPr>
          <w:b w:val="0"/>
          <w:sz w:val="22"/>
        </w:rPr>
        <w:t>Rate cards, benefits, and FX maintained once and used everywhere</w:t>
      </w:r>
    </w:p>
    <w:p/>
    <w:p/>
    <w:p>
      <w:r>
        <w:rPr>
          <w:b/>
          <w:color w:val="2C5A8A"/>
          <w:sz w:val="28"/>
        </w:rPr>
        <w:t>FOOTNOTES</w:t>
      </w:r>
    </w:p>
    <w:p>
      <w:r>
        <w:rPr>
          <w:b w:val="0"/>
          <w:color w:val="6A737C"/>
          <w:sz w:val="20"/>
        </w:rPr>
        <w:t>1 Last edit wins. When two users save changes to the same plan at the same time, only the most recent save is kept; the other user's changes are silently dropped. The rebuild replaces this with cell-level merging.</w:t>
      </w:r>
    </w:p>
    <w:p>
      <w:r>
        <w:rPr>
          <w:b w:val="0"/>
          <w:color w:val="6A737C"/>
          <w:sz w:val="20"/>
        </w:rPr>
        <w:t>2 ERP / HR / EPM. ERP = the firm's general ledger system (e.g., SAP, Oracle, NetSuite). HR = the workforce system of record (e.g., Workday). EPM = enterprise performance management — consolidation and reporting tools (e.g., Oracle EPM, Anaplan, Workday Adaptive).</w:t>
      </w:r>
    </w:p>
    <w:p>
      <w:r>
        <w:rPr>
          <w:b w:val="0"/>
          <w:color w:val="6A737C"/>
          <w:sz w:val="20"/>
        </w:rPr>
        <w:t>3 Single sign-on (SSO). Users log in once with their corporate credentials (e.g., Google Workspace, Azure AD) and access Trestle without a separate password.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