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Transcripción</w:t>
      </w:r>
      <w:r>
        <w:t xml:space="preserve"> </w:t>
      </w:r>
      <w:r>
        <w:t xml:space="preserve">y</w:t>
      </w:r>
      <w:r>
        <w:t xml:space="preserve"> </w:t>
      </w:r>
      <w:r>
        <w:t xml:space="preserve">Notas</w:t>
      </w:r>
      <w:r>
        <w:t xml:space="preserve"> </w:t>
      </w:r>
      <w:r>
        <w:t xml:space="preserve">del</w:t>
      </w:r>
      <w:r>
        <w:t xml:space="preserve"> </w:t>
      </w:r>
      <w:r>
        <w:t xml:space="preserve">Empalme</w:t>
      </w:r>
      <w:r>
        <w:t xml:space="preserve"> </w:t>
      </w:r>
      <w:r>
        <w:t xml:space="preserve">—</w:t>
      </w:r>
      <w:r>
        <w:t xml:space="preserve"> </w:t>
      </w:r>
      <w:r>
        <w:t xml:space="preserve">Área</w:t>
      </w:r>
      <w:r>
        <w:t xml:space="preserve"> </w:t>
      </w:r>
      <w:r>
        <w:t xml:space="preserve">de</w:t>
      </w:r>
      <w:r>
        <w:t xml:space="preserve"> </w:t>
      </w:r>
      <w:r>
        <w:t xml:space="preserve">Estrategias</w:t>
      </w:r>
      <w:r>
        <w:t xml:space="preserve"> </w:t>
      </w:r>
      <w:r>
        <w:t xml:space="preserve">Tecnológicas</w:t>
      </w:r>
      <w:r>
        <w:t xml:space="preserve"> </w:t>
      </w:r>
      <w:r>
        <w:t xml:space="preserve">(ET)</w:t>
      </w:r>
    </w:p>
    <w:p>
      <w:pPr>
        <w:pStyle w:val="Author"/>
      </w:pPr>
      <w:r>
        <w:t xml:space="preserve">UIFCE</w:t>
      </w:r>
      <w:r>
        <w:t xml:space="preserve"> </w:t>
      </w:r>
      <w:r>
        <w:t xml:space="preserve">—</w:t>
      </w:r>
      <w:r>
        <w:t xml:space="preserve"> </w:t>
      </w:r>
      <w:r>
        <w:t xml:space="preserve">Unidad</w:t>
      </w:r>
      <w:r>
        <w:t xml:space="preserve"> </w:t>
      </w:r>
      <w:r>
        <w:t xml:space="preserve">de</w:t>
      </w:r>
      <w:r>
        <w:t xml:space="preserve"> </w:t>
      </w:r>
      <w:r>
        <w:t xml:space="preserve">Informática,</w:t>
      </w:r>
      <w:r>
        <w:t xml:space="preserve"> </w:t>
      </w:r>
      <w:r>
        <w:t xml:space="preserve">Facultad</w:t>
      </w:r>
      <w:r>
        <w:t xml:space="preserve"> </w:t>
      </w:r>
      <w:r>
        <w:t xml:space="preserve">de</w:t>
      </w:r>
      <w:r>
        <w:t xml:space="preserve"> </w:t>
      </w:r>
      <w:r>
        <w:t xml:space="preserve">Ciencias</w:t>
      </w:r>
      <w:r>
        <w:t xml:space="preserve"> </w:t>
      </w:r>
      <w:r>
        <w:t xml:space="preserve">Económicas,</w:t>
      </w:r>
      <w:r>
        <w:t xml:space="preserve"> </w:t>
      </w:r>
      <w:r>
        <w:t xml:space="preserve">UNAL</w:t>
      </w:r>
    </w:p>
    <w:p>
      <w:pPr>
        <w:pStyle w:val="Date"/>
      </w:pPr>
      <w:r>
        <w:t xml:space="preserve">Reunión</w:t>
      </w:r>
      <w:r>
        <w:t xml:space="preserve"> </w:t>
      </w:r>
      <w:r>
        <w:t xml:space="preserve">de</w:t>
      </w:r>
      <w:r>
        <w:t xml:space="preserve"> </w:t>
      </w:r>
      <w:r>
        <w:t xml:space="preserve">empalme</w:t>
      </w:r>
      <w:r>
        <w:t xml:space="preserve"> </w:t>
      </w:r>
      <w:r>
        <w:t xml:space="preserve">entre</w:t>
      </w:r>
      <w:r>
        <w:t xml:space="preserve"> </w:t>
      </w:r>
      <w:r>
        <w:t xml:space="preserve">la</w:t>
      </w:r>
      <w:r>
        <w:t xml:space="preserve"> </w:t>
      </w:r>
      <w:r>
        <w:t xml:space="preserve">máster</w:t>
      </w:r>
      <w:r>
        <w:t xml:space="preserve"> </w:t>
      </w:r>
      <w:r>
        <w:t xml:space="preserve">saliente</w:t>
      </w:r>
      <w:r>
        <w:t xml:space="preserve"> </w:t>
      </w:r>
      <w:r>
        <w:t xml:space="preserve">y</w:t>
      </w:r>
      <w:r>
        <w:t xml:space="preserve"> </w:t>
      </w:r>
      <w:r>
        <w:t xml:space="preserve">la</w:t>
      </w:r>
      <w:r>
        <w:t xml:space="preserve"> </w:t>
      </w:r>
      <w:r>
        <w:t xml:space="preserve">máster</w:t>
      </w:r>
      <w:r>
        <w:t xml:space="preserve"> </w:t>
      </w:r>
      <w:r>
        <w:t xml:space="preserve">entrante</w:t>
      </w:r>
      <w:r>
        <w:t xml:space="preserve"> </w:t>
      </w:r>
      <w:r>
        <w:t xml:space="preserve">de</w:t>
      </w:r>
      <w:r>
        <w:t xml:space="preserve"> </w:t>
      </w:r>
      <w:r>
        <w:t xml:space="preserve">ET</w:t>
      </w:r>
      <w:r>
        <w:t xml:space="preserve"> </w:t>
      </w:r>
      <w:r>
        <w:t xml:space="preserve">·</w:t>
      </w:r>
      <w:r>
        <w:t xml:space="preserve"> </w:t>
      </w:r>
      <w:r>
        <w:t xml:space="preserve">Duración</w:t>
      </w:r>
      <w:r>
        <w:t xml:space="preserve"> </w:t>
      </w:r>
      <w:r>
        <w:t xml:space="preserve">aproximada:</w:t>
      </w:r>
      <w:r>
        <w:t xml:space="preserve"> </w:t>
      </w:r>
      <w:r>
        <w:t xml:space="preserve">2</w:t>
      </w:r>
      <w:r>
        <w:t xml:space="preserve"> </w:t>
      </w:r>
      <w:r>
        <w:t xml:space="preserve">h</w:t>
      </w:r>
      <w:r>
        <w:t xml:space="preserve"> </w:t>
      </w:r>
      <w:r>
        <w:t xml:space="preserve">05</w:t>
      </w:r>
      <w:r>
        <w:t xml:space="preserve"> </w:t>
      </w:r>
      <w:r>
        <w:t xml:space="preserve">min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nota-metodológica"/>
    <w:p>
      <w:pPr>
        <w:pStyle w:val="Heading1"/>
      </w:pPr>
      <w:r>
        <w:t xml:space="preserve">Nota metodológica</w:t>
      </w:r>
    </w:p>
    <w:p>
      <w:pPr>
        <w:pStyle w:val="FirstParagraph"/>
      </w:pPr>
      <w:r>
        <w:t xml:space="preserve">Este documento es una</w:t>
      </w:r>
      <w:r>
        <w:t xml:space="preserve"> </w:t>
      </w:r>
      <w:r>
        <w:rPr>
          <w:bCs/>
          <w:b/>
        </w:rPr>
        <w:t xml:space="preserve">transcripción limpiada y organizada por temas</w:t>
      </w:r>
      <w:r>
        <w:t xml:space="preserve"> </w:t>
      </w:r>
      <w:r>
        <w:t xml:space="preserve">de la grabación de empalme entre la líder (máster) saliente del área de Estrategias Tecnológicas (ET) y la líder entrante para el semestre 2026-2. El audio fue extraído del video original, transcrito de forma local mediante reconocimiento de voz automático (faster-whisper) y luego corregido manualmente según el contexto institucional ya construido a lo largo de este proyecto (informes de gestión 2025-I, 2025-II y 2026-I, Guía de Empalme UIFCE v2, Manual de Funciones y Portafolio de Proyectos 2026-2).</w:t>
      </w:r>
    </w:p>
    <w:p>
      <w:pPr>
        <w:pStyle w:val="BodyText"/>
      </w:pPr>
      <w:r>
        <w:t xml:space="preserve">La reunión fue una conversación fluida y, en gran parte, un recorrido compartido de pantalla por la carpeta de Drive de ET, por lo que</w:t>
      </w:r>
      <w:r>
        <w:t xml:space="preserve"> </w:t>
      </w:r>
      <w:r>
        <w:rPr>
          <w:bCs/>
          <w:b/>
        </w:rPr>
        <w:t xml:space="preserve">no se transcribe palabra por palabra en el orden literal del audio</w:t>
      </w:r>
      <w:r>
        <w:t xml:space="preserve">, sino que se reorganiza por tema para que sea utilizable como documento de consulta. Se conservan los rangos de tiempo</w:t>
      </w:r>
      <w:r>
        <w:t xml:space="preserve"> </w:t>
      </w:r>
      <w:r>
        <w:rPr>
          <w:rStyle w:val="VerbatimChar"/>
        </w:rPr>
        <w:t xml:space="preserve">[hh:mm:ss]</w:t>
      </w:r>
      <w:r>
        <w:t xml:space="preserve"> </w:t>
      </w:r>
      <w:r>
        <w:t xml:space="preserve">de inicio de cada bloque temático para poder ubicarlo en el audio/video original si se necesita el detalle exacto. Las citas dentro de comillas son paráfrasis fieles del contenido dicho, no transcripción literal palabra por palabra (el audio tiene abundantes muletillas, titubeos y cruces de voz típicos de una conversación oral).</w:t>
      </w:r>
    </w:p>
    <w:p>
      <w:pPr>
        <w:pStyle w:val="BodyText"/>
      </w:pPr>
      <w:r>
        <w:t xml:space="preserve">Al final del documento (numeral 15) se listan los</w:t>
      </w:r>
      <w:r>
        <w:t xml:space="preserve"> </w:t>
      </w:r>
      <w:r>
        <w:rPr>
          <w:bCs/>
          <w:b/>
        </w:rPr>
        <w:t xml:space="preserve">compromisos y pendientes accionables</w:t>
      </w:r>
      <w:r>
        <w:t xml:space="preserve"> </w:t>
      </w:r>
      <w:r>
        <w:t xml:space="preserve">identificados, que fueron la base para actualizar la hoja</w:t>
      </w:r>
      <w:r>
        <w:t xml:space="preserve"> </w:t>
      </w:r>
      <w:r>
        <w:t xml:space="preserve">“</w:t>
      </w:r>
      <w:r>
        <w:t xml:space="preserve">Planeación del Área</w:t>
      </w:r>
      <w:r>
        <w:t xml:space="preserve">”</w:t>
      </w:r>
      <w:r>
        <w:t xml:space="preserve"> </w:t>
      </w:r>
      <w:r>
        <w:t xml:space="preserve">de</w:t>
      </w:r>
      <w:r>
        <w:t xml:space="preserve"> </w:t>
      </w:r>
      <w:r>
        <w:rPr>
          <w:rStyle w:val="VerbatimChar"/>
        </w:rPr>
        <w:t xml:space="preserve">Estrategias Tecnológicas-Planeación 2026-2.xlsx</w:t>
      </w:r>
      <w:r>
        <w:t xml:space="preserve">.</w:t>
      </w:r>
    </w:p>
    <w:p>
      <w:r>
        <w:pict>
          <v:rect style="width:0;height:1.5pt" o:hralign="center" o:hrstd="t" o:hr="t"/>
        </w:pict>
      </w:r>
    </w:p>
    <w:bookmarkEnd w:id="20"/>
    <w:bookmarkStart w:id="22" w:name="Xdaceba770b0f688c3bc68f4b0a83cdc41454eea"/>
    <w:p>
      <w:pPr>
        <w:pStyle w:val="Heading1"/>
      </w:pPr>
      <w:r>
        <w:t xml:space="preserve">1. Comunicaciones institucionales y protocolo de correo masivo</w:t>
      </w:r>
      <w:r>
        <w:t xml:space="preserve"> </w:t>
      </w:r>
      <w:r>
        <w:rPr>
          <w:rStyle w:val="VerbatimChar"/>
        </w:rPr>
        <w:t xml:space="preserve">[00:00–00:08]</w:t>
      </w:r>
    </w:p>
    <w:p>
      <w:pPr>
        <w:numPr>
          <w:ilvl w:val="0"/>
          <w:numId w:val="1001"/>
        </w:numPr>
        <w:pStyle w:val="Compact"/>
      </w:pPr>
      <w:r>
        <w:t xml:space="preserve">Comunicaciones (la Dependencia de Comunicaciones de la Facultad, referida también como</w:t>
      </w:r>
      <w:r>
        <w:t xml:space="preserve"> </w:t>
      </w:r>
      <w:r>
        <w:rPr>
          <w:bCs/>
          <w:b/>
        </w:rPr>
        <w:t xml:space="preserve">Comunicaciones FCE</w:t>
      </w:r>
      <w:r>
        <w:t xml:space="preserve">) apoya piezas de alta producción y ayuda a compartir contenido internamente, pero</w:t>
      </w:r>
      <w:r>
        <w:t xml:space="preserve"> </w:t>
      </w:r>
      <w:r>
        <w:rPr>
          <w:bCs/>
          <w:b/>
        </w:rPr>
        <w:t xml:space="preserve">la difusión masiva a toda la Facultad de Ciencias Económicas</w:t>
      </w:r>
      <w:r>
        <w:t xml:space="preserve"> </w:t>
      </w:r>
      <w:r>
        <w:t xml:space="preserve">(estudiantes de pregrado, posgrado, administrativos o grupos específicos como profesores de un programa) se gestiona por correo, no por redes.</w:t>
      </w:r>
    </w:p>
    <w:p>
      <w:pPr>
        <w:numPr>
          <w:ilvl w:val="0"/>
          <w:numId w:val="1001"/>
        </w:numPr>
        <w:pStyle w:val="Compact"/>
      </w:pPr>
      <w:r>
        <w:t xml:space="preserve">Para enviar un correo masivo se escribe a</w:t>
      </w:r>
      <w:r>
        <w:t xml:space="preserve"> </w:t>
      </w:r>
      <w:r>
        <w:rPr>
          <w:bCs/>
          <w:b/>
        </w:rPr>
        <w:t xml:space="preserve">Comunicaciones FCE</w:t>
      </w:r>
      <w:r>
        <w:t xml:space="preserve"> </w:t>
      </w:r>
      <w:r>
        <w:t xml:space="preserve">y a</w:t>
      </w:r>
      <w:r>
        <w:t xml:space="preserve"> </w:t>
      </w:r>
      <w:r>
        <w:rPr>
          <w:bCs/>
          <w:b/>
        </w:rPr>
        <w:t xml:space="preserve">administrador correo Facultad de Ciencias Económicas</w:t>
      </w:r>
      <w:r>
        <w:t xml:space="preserve"> </w:t>
      </w:r>
      <w:r>
        <w:t xml:space="preserve">(los dos contactos de correo institucional usados habitualmente por ET). El mensaje debe incluir saludo, asunto y cuerpo ya redactados, tal como se van a publicar.</w:t>
      </w:r>
    </w:p>
    <w:p>
      <w:pPr>
        <w:numPr>
          <w:ilvl w:val="0"/>
          <w:numId w:val="1001"/>
        </w:numPr>
        <w:pStyle w:val="Compact"/>
      </w:pPr>
      <w:r>
        <w:t xml:space="preserve">Recomendación operativa explícita: enviar la solicitud</w:t>
      </w:r>
      <w:r>
        <w:t xml:space="preserve"> </w:t>
      </w:r>
      <w:r>
        <w:rPr>
          <w:bCs/>
          <w:b/>
        </w:rPr>
        <w:t xml:space="preserve">con anticipación, preferiblemente en la mañana</w:t>
      </w:r>
      <w:r>
        <w:t xml:space="preserve">, porque el equipo de Comunicaciones atiende varias dependencias a la vez y las solicitudes de último momento suelen atrasarse. Se puede programar fecha y hora de envío con antelación (ej.:</w:t>
      </w:r>
      <w:r>
        <w:t xml:space="preserve"> </w:t>
      </w:r>
      <w:r>
        <w:t xml:space="preserve">“</w:t>
      </w:r>
      <w:r>
        <w:t xml:space="preserve">subir mañana 20 de agosto a las 4:00 p.m.</w:t>
      </w:r>
      <w:r>
        <w:t xml:space="preserve">”</w:t>
      </w:r>
      <w:r>
        <w:t xml:space="preserve">).</w:t>
      </w:r>
    </w:p>
    <w:p>
      <w:pPr>
        <w:numPr>
          <w:ilvl w:val="0"/>
          <w:numId w:val="1001"/>
        </w:numPr>
        <w:pStyle w:val="Compact"/>
      </w:pPr>
      <w:r>
        <w:t xml:space="preserve">Si Comunicaciones no responde o no ha marcado como leído un mensaje, se puede insistir por el chat de Gmail institucional (aparece un historial de chat con Comunicaciones dentro del correo de la unidad).</w:t>
      </w:r>
    </w:p>
    <w:bookmarkStart w:id="21" w:name="X7660f62d81413599d847197e49b4cb5f70d7478"/>
    <w:p>
      <w:pPr>
        <w:pStyle w:val="Heading2"/>
      </w:pPr>
      <w:r>
        <w:t xml:space="preserve">Límites de contenido en cuentas institucionales</w:t>
      </w:r>
    </w:p>
    <w:p>
      <w:pPr>
        <w:numPr>
          <w:ilvl w:val="0"/>
          <w:numId w:val="1002"/>
        </w:numPr>
        <w:pStyle w:val="Compact"/>
      </w:pPr>
      <w:r>
        <w:t xml:space="preserve">Todo el contenido publicado en cuentas institucionales pasa, en última instancia, por el criterio de Comunicaciones e Imagen Institucional, incluso si el área de ET tiene más libertad creativa por ser un área conformada solo por estudiantes.</w:t>
      </w:r>
    </w:p>
    <w:p>
      <w:pPr>
        <w:numPr>
          <w:ilvl w:val="0"/>
          <w:numId w:val="1002"/>
        </w:numPr>
        <w:pStyle w:val="Compact"/>
      </w:pPr>
      <w:r>
        <w:t xml:space="preserve">Caso ilustrativo mencionado: un reel/hack sobre secuestro de datos (</w:t>
      </w:r>
      <w:r>
        <w:t xml:space="preserve">“</w:t>
      </w:r>
      <w:r>
        <w:t xml:space="preserve">secuestro</w:t>
      </w:r>
      <w:r>
        <w:t xml:space="preserve">”</w:t>
      </w:r>
      <w:r>
        <w:t xml:space="preserve"> </w:t>
      </w:r>
      <w:r>
        <w:t xml:space="preserve">informático, en tono de humor con un hombre</w:t>
      </w:r>
      <w:r>
        <w:t xml:space="preserve"> </w:t>
      </w:r>
      <w:r>
        <w:t xml:space="preserve">“</w:t>
      </w:r>
      <w:r>
        <w:t xml:space="preserve">secuestrando</w:t>
      </w:r>
      <w:r>
        <w:t xml:space="preserve">”</w:t>
      </w:r>
      <w:r>
        <w:t xml:space="preserve"> </w:t>
      </w:r>
      <w:r>
        <w:t xml:space="preserve">a una mujer) no fue republicado por Comunicaciones porque el enfoque narrativo (hombre/mujer) podía leerse como un contenido sensible, aunque el tema técnico en sí no era el problema. La recomendación es siempre poder compartir el enlace por canales internos (chat interno, o el Instagram/canal de la Facultad) aunque Comunicaciones decida no republicarlo en su cuenta oficial.</w:t>
      </w:r>
    </w:p>
    <w:p>
      <w:r>
        <w:pict>
          <v:rect style="width:0;height:1.5pt" o:hralign="center" o:hrstd="t" o:hr="t"/>
        </w:pict>
      </w:r>
    </w:p>
    <w:bookmarkEnd w:id="21"/>
    <w:bookmarkEnd w:id="22"/>
    <w:bookmarkStart w:id="23" w:name="Xc0ee9c1cb9c52ac1d23100c2bfe71f3c80aaef0"/>
    <w:p>
      <w:pPr>
        <w:pStyle w:val="Heading1"/>
      </w:pPr>
      <w:r>
        <w:t xml:space="preserve">2. Manejo de cuentas y credenciales institucionales</w:t>
      </w:r>
      <w:r>
        <w:t xml:space="preserve"> </w:t>
      </w:r>
      <w:r>
        <w:rPr>
          <w:rStyle w:val="VerbatimChar"/>
        </w:rPr>
        <w:t xml:space="preserve">[00:07–00:09]</w:t>
      </w:r>
    </w:p>
    <w:p>
      <w:pPr>
        <w:numPr>
          <w:ilvl w:val="0"/>
          <w:numId w:val="1003"/>
        </w:numPr>
        <w:pStyle w:val="Compact"/>
      </w:pPr>
      <w:r>
        <w:rPr>
          <w:bCs/>
          <w:b/>
        </w:rPr>
        <w:t xml:space="preserve">Regla explícita de acceso</w:t>
      </w:r>
      <w:r>
        <w:t xml:space="preserve">: ningún monitor junior debe tener las credenciales de las cuentas institucionales de redes sociales (Instagram, en su momento Facebook). Solo la máster de ET y, en general, el coordinador del área, deben tener acceso directo.</w:t>
      </w:r>
    </w:p>
    <w:p>
      <w:pPr>
        <w:numPr>
          <w:ilvl w:val="0"/>
          <w:numId w:val="1003"/>
        </w:numPr>
        <w:pStyle w:val="Compact"/>
      </w:pPr>
      <w:r>
        <w:t xml:space="preserve">Para Virtualización, la única persona que puede publicar contenido en sus canales es el máster de esa área — se aplica el mismo criterio de acceso restringido en las demás áreas de la UIFCE.</w:t>
      </w:r>
    </w:p>
    <w:p>
      <w:r>
        <w:pict>
          <v:rect style="width:0;height:1.5pt" o:hralign="center" o:hrstd="t" o:hr="t"/>
        </w:pict>
      </w:r>
    </w:p>
    <w:bookmarkEnd w:id="23"/>
    <w:bookmarkStart w:id="24" w:name="X3c41b4ad73c698e724e9f4d8b43c763b813e5f6"/>
    <w:p>
      <w:pPr>
        <w:pStyle w:val="Heading1"/>
      </w:pPr>
      <w:r>
        <w:t xml:space="preserve">3. Organización del Drive de ET: piezas, plantillas y libertad de marca</w:t>
      </w:r>
      <w:r>
        <w:t xml:space="preserve"> </w:t>
      </w:r>
      <w:r>
        <w:rPr>
          <w:rStyle w:val="VerbatimChar"/>
        </w:rPr>
        <w:t xml:space="preserve">[00:08–00:12]</w:t>
      </w:r>
    </w:p>
    <w:p>
      <w:pPr>
        <w:numPr>
          <w:ilvl w:val="0"/>
          <w:numId w:val="1004"/>
        </w:numPr>
        <w:pStyle w:val="Compact"/>
      </w:pPr>
      <w:r>
        <w:t xml:space="preserve">La carpeta de Drive de ET del semestre anterior contiene, entre otras, una carpeta de</w:t>
      </w:r>
      <w:r>
        <w:t xml:space="preserve"> </w:t>
      </w:r>
      <w:r>
        <w:rPr>
          <w:bCs/>
          <w:b/>
        </w:rPr>
        <w:t xml:space="preserve">“</w:t>
      </w:r>
      <w:r>
        <w:rPr>
          <w:bCs/>
          <w:b/>
        </w:rPr>
        <w:t xml:space="preserve">Piezas TV</w:t>
      </w:r>
      <w:r>
        <w:rPr>
          <w:bCs/>
          <w:b/>
        </w:rPr>
        <w:t xml:space="preserve">”</w:t>
      </w:r>
      <w:r>
        <w:t xml:space="preserve"> </w:t>
      </w:r>
      <w:r>
        <w:t xml:space="preserve">vigentes (plantillas activas para pantallas/televisores) y una carpeta separada de</w:t>
      </w:r>
      <w:r>
        <w:t xml:space="preserve"> </w:t>
      </w:r>
      <w:r>
        <w:rPr>
          <w:bCs/>
          <w:b/>
        </w:rPr>
        <w:t xml:space="preserve">“</w:t>
      </w:r>
      <w:r>
        <w:rPr>
          <w:bCs/>
          <w:b/>
        </w:rPr>
        <w:t xml:space="preserve">Rines Instagram</w:t>
      </w:r>
      <w:r>
        <w:rPr>
          <w:bCs/>
          <w:b/>
        </w:rPr>
        <w:t xml:space="preserve">”</w:t>
      </w:r>
      <w:r>
        <w:t xml:space="preserve"> </w:t>
      </w:r>
      <w:r>
        <w:t xml:space="preserve">con todo el material ya editado y publicado (reels, historias, hacks, noticias).</w:t>
      </w:r>
    </w:p>
    <w:p>
      <w:pPr>
        <w:numPr>
          <w:ilvl w:val="0"/>
          <w:numId w:val="1004"/>
        </w:numPr>
        <w:pStyle w:val="Compact"/>
      </w:pPr>
      <w:r>
        <w:t xml:space="preserve">Sobre libertad creativa entre semestres:</w:t>
      </w:r>
      <w:r>
        <w:t xml:space="preserve"> </w:t>
      </w:r>
      <w:r>
        <w:rPr>
          <w:bCs/>
          <w:b/>
        </w:rPr>
        <w:t xml:space="preserve">cada máster tiene libertad casi total</w:t>
      </w:r>
      <w:r>
        <w:t xml:space="preserve"> </w:t>
      </w:r>
      <w:r>
        <w:t xml:space="preserve">para modificar la línea gráfica de un semestre a otro (se dio como ejemplo un semestre en el que se usaron piezas moradas en vez del azul institucional habitual). El único límite real es mantener los estándares de identidad visual institucional: la fuente institucional, el escudo, los márgenes y la asociación de la unidad con azul y amarillo. Fuera de eso, se anima explícitamente a romper la monotonía visual (se menciona como antecedente negativo un semestre en el que</w:t>
      </w:r>
      <w:r>
        <w:t xml:space="preserve"> </w:t>
      </w:r>
      <w:r>
        <w:t xml:space="preserve">“</w:t>
      </w:r>
      <w:r>
        <w:t xml:space="preserve">todo era azul y letras amarillas</w:t>
      </w:r>
      <w:r>
        <w:t xml:space="preserve">”</w:t>
      </w:r>
      <w:r>
        <w:t xml:space="preserve"> </w:t>
      </w:r>
      <w:r>
        <w:t xml:space="preserve">y a la gente</w:t>
      </w:r>
      <w:r>
        <w:t xml:space="preserve"> </w:t>
      </w:r>
      <w:r>
        <w:t xml:space="preserve">“</w:t>
      </w:r>
      <w:r>
        <w:t xml:space="preserve">no le gustaba nada</w:t>
      </w:r>
      <w:r>
        <w:t xml:space="preserve">”</w:t>
      </w:r>
      <w:r>
        <w:t xml:space="preserve">).</w:t>
      </w:r>
    </w:p>
    <w:p>
      <w:pPr>
        <w:numPr>
          <w:ilvl w:val="0"/>
          <w:numId w:val="1004"/>
        </w:numPr>
        <w:pStyle w:val="Compact"/>
      </w:pPr>
      <w:r>
        <w:t xml:space="preserve">Existe un informe de auditoría interno (de la máster saliente y de</w:t>
      </w:r>
      <w:r>
        <w:t xml:space="preserve"> </w:t>
      </w:r>
      <w:r>
        <w:t xml:space="preserve">“</w:t>
      </w:r>
      <w:r>
        <w:t xml:space="preserve">Daniel</w:t>
      </w:r>
      <w:r>
        <w:t xml:space="preserve">”</w:t>
      </w:r>
      <w:r>
        <w:t xml:space="preserve">) archivado en esa misma carpeta, marcado como oculto por defecto.</w:t>
      </w:r>
    </w:p>
    <w:p>
      <w:r>
        <w:pict>
          <v:rect style="width:0;height:1.5pt" o:hralign="center" o:hrstd="t" o:hr="t"/>
        </w:pict>
      </w:r>
    </w:p>
    <w:bookmarkEnd w:id="24"/>
    <w:bookmarkStart w:id="32" w:name="X23573865b3ca3beb1938a4f5db4f148e0dc0ad9"/>
    <w:p>
      <w:pPr>
        <w:pStyle w:val="Heading1"/>
      </w:pPr>
      <w:r>
        <w:t xml:space="preserve">4. Semana UIFCE / Semana de la Investigación y Hackatón</w:t>
      </w:r>
      <w:r>
        <w:t xml:space="preserve"> </w:t>
      </w:r>
      <w:r>
        <w:rPr>
          <w:rStyle w:val="VerbatimChar"/>
        </w:rPr>
        <w:t xml:space="preserve">[00:08 y 00:19–00:46]</w:t>
      </w:r>
    </w:p>
    <w:bookmarkStart w:id="25" w:name="marco-institucional"/>
    <w:p>
      <w:pPr>
        <w:pStyle w:val="Heading2"/>
      </w:pPr>
      <w:r>
        <w:t xml:space="preserve">4.1 Marco institucional</w:t>
      </w:r>
    </w:p>
    <w:p>
      <w:pPr>
        <w:numPr>
          <w:ilvl w:val="0"/>
          <w:numId w:val="1005"/>
        </w:numPr>
        <w:pStyle w:val="Compact"/>
      </w:pPr>
      <w:r>
        <w:t xml:space="preserve">ET no organiza un evento propio aislado: se</w:t>
      </w:r>
      <w:r>
        <w:t xml:space="preserve"> </w:t>
      </w:r>
      <w:r>
        <w:rPr>
          <w:bCs/>
          <w:b/>
        </w:rPr>
        <w:t xml:space="preserve">articula con la Semana de la Investigación</w:t>
      </w:r>
      <w:r>
        <w:t xml:space="preserve">, un espacio de una semana dentro de la Facultad de Ciencias Económicas en el que distintas dependencias (investigación, extensión, programas) hacen lanzamientos de libros, conferencias y presentan procesos investigativos, y en el cual hay receso parcial de clases.</w:t>
      </w:r>
    </w:p>
    <w:p>
      <w:pPr>
        <w:numPr>
          <w:ilvl w:val="0"/>
          <w:numId w:val="1005"/>
        </w:numPr>
        <w:pStyle w:val="Compact"/>
      </w:pPr>
      <w:r>
        <w:t xml:space="preserve">La Semana de la Investigación pasó de ser un evento esporádico a uno</w:t>
      </w:r>
      <w:r>
        <w:t xml:space="preserve"> </w:t>
      </w:r>
      <w:r>
        <w:rPr>
          <w:bCs/>
          <w:b/>
        </w:rPr>
        <w:t xml:space="preserve">anual</w:t>
      </w:r>
      <w:r>
        <w:t xml:space="preserve">, y para 2026-2 se realizará en</w:t>
      </w:r>
      <w:r>
        <w:t xml:space="preserve"> </w:t>
      </w:r>
      <w:r>
        <w:rPr>
          <w:bCs/>
          <w:b/>
        </w:rPr>
        <w:t xml:space="preserve">septiembre</w:t>
      </w:r>
      <w:r>
        <w:t xml:space="preserve">. La participación histórica de ET/UIFCE en ella ha sido baja, con una excepción notable: el semestre en el que se hicieron cuatro microtalleres, una conferencia y se trajo un invitado externo (tiktoker reconocido), pero coincidió mal con la semana de parciales de ese semestre.</w:t>
      </w:r>
    </w:p>
    <w:p>
      <w:pPr>
        <w:numPr>
          <w:ilvl w:val="0"/>
          <w:numId w:val="1005"/>
        </w:numPr>
        <w:pStyle w:val="Compact"/>
      </w:pPr>
      <w:r>
        <w:t xml:space="preserve">Contacto institucional para la Semana de la Investigación: la</w:t>
      </w:r>
      <w:r>
        <w:t xml:space="preserve"> </w:t>
      </w:r>
      <w:r>
        <w:rPr>
          <w:bCs/>
          <w:b/>
        </w:rPr>
        <w:t xml:space="preserve">Vicedecanatura de Investigación y Extensión</w:t>
      </w:r>
      <w:r>
        <w:t xml:space="preserve"> </w:t>
      </w:r>
      <w:r>
        <w:t xml:space="preserve">(referida indistintamente como</w:t>
      </w:r>
      <w:r>
        <w:t xml:space="preserve"> </w:t>
      </w:r>
      <w:r>
        <w:t xml:space="preserve">“</w:t>
      </w:r>
      <w:r>
        <w:t xml:space="preserve">VIE</w:t>
      </w:r>
      <w:r>
        <w:t xml:space="preserve">”</w:t>
      </w:r>
      <w:r>
        <w:t xml:space="preserve"> </w:t>
      </w:r>
      <w:r>
        <w:t xml:space="preserve">o</w:t>
      </w:r>
      <w:r>
        <w:t xml:space="preserve"> </w:t>
      </w:r>
      <w:r>
        <w:t xml:space="preserve">“</w:t>
      </w:r>
      <w:r>
        <w:t xml:space="preserve">vicedecanatura de investigación y extensión</w:t>
      </w:r>
      <w:r>
        <w:t xml:space="preserve">”</w:t>
      </w:r>
      <w:r>
        <w:t xml:space="preserve">), con quien ET ya viene coordinando por correo. Contacto de apoyo mencionado:</w:t>
      </w:r>
      <w:r>
        <w:t xml:space="preserve"> </w:t>
      </w:r>
      <w:r>
        <w:rPr>
          <w:bCs/>
          <w:b/>
        </w:rPr>
        <w:t xml:space="preserve">Sandra Carlos Vargas</w:t>
      </w:r>
      <w:r>
        <w:t xml:space="preserve">, secretaria de la Vicedecanatura.</w:t>
      </w:r>
    </w:p>
    <w:bookmarkEnd w:id="25"/>
    <w:bookmarkStart w:id="26" w:name="hackatón-bizagi"/>
    <w:p>
      <w:pPr>
        <w:pStyle w:val="Heading2"/>
      </w:pPr>
      <w:r>
        <w:t xml:space="preserve">4.2 Hackatón (Bizagi)</w:t>
      </w:r>
    </w:p>
    <w:p>
      <w:pPr>
        <w:numPr>
          <w:ilvl w:val="0"/>
          <w:numId w:val="1006"/>
        </w:numPr>
        <w:pStyle w:val="Compact"/>
      </w:pPr>
      <w:r>
        <w:t xml:space="preserve">La Hackatón está formulada en torno a la herramienta</w:t>
      </w:r>
      <w:r>
        <w:t xml:space="preserve"> </w:t>
      </w:r>
      <w:r>
        <w:rPr>
          <w:bCs/>
          <w:b/>
        </w:rPr>
        <w:t xml:space="preserve">Bizagi</w:t>
      </w:r>
      <w:r>
        <w:t xml:space="preserve"> </w:t>
      </w:r>
      <w:r>
        <w:t xml:space="preserve">(modelamiento/gestión de procesos), con la idea de identificar</w:t>
      </w:r>
      <w:r>
        <w:t xml:space="preserve"> </w:t>
      </w:r>
      <w:r>
        <w:rPr>
          <w:bCs/>
          <w:b/>
        </w:rPr>
        <w:t xml:space="preserve">cuellos de botella en procesos de la universidad</w:t>
      </w:r>
      <w:r>
        <w:t xml:space="preserve"> </w:t>
      </w:r>
      <w:r>
        <w:t xml:space="preserve">(ej. procesos de inscripción) y proponer soluciones.</w:t>
      </w:r>
    </w:p>
    <w:p>
      <w:pPr>
        <w:numPr>
          <w:ilvl w:val="0"/>
          <w:numId w:val="1006"/>
        </w:numPr>
        <w:pStyle w:val="Compact"/>
      </w:pPr>
      <w:r>
        <w:t xml:space="preserve">Formato: equipos de 4 personas, que compiten entre sí; jurados propuestos son profesores de la Facultad (se recomienda gestionarlo directamente con la persona a cargo del proyecto, ver abajo).</w:t>
      </w:r>
    </w:p>
    <w:p>
      <w:pPr>
        <w:numPr>
          <w:ilvl w:val="0"/>
          <w:numId w:val="1006"/>
        </w:numPr>
        <w:pStyle w:val="Compact"/>
      </w:pPr>
      <w:r>
        <w:t xml:space="preserve">Estructura de tres días, no necesariamente consecutivos: día 1, capacitación en la herramienta; día 2, entrega del caso a resolver; los equipos tienen luego</w:t>
      </w:r>
      <w:r>
        <w:t xml:space="preserve"> </w:t>
      </w:r>
      <w:r>
        <w:rPr>
          <w:bCs/>
          <w:b/>
        </w:rPr>
        <w:t xml:space="preserve">una semana</w:t>
      </w:r>
      <w:r>
        <w:t xml:space="preserve"> </w:t>
      </w:r>
      <w:r>
        <w:t xml:space="preserve">para resolverlo; día 3 (una semana después, fuera de la Semana de la Investigación propiamente dicha), sustentación ante los jurados/profesores.</w:t>
      </w:r>
    </w:p>
    <w:p>
      <w:pPr>
        <w:numPr>
          <w:ilvl w:val="0"/>
          <w:numId w:val="1006"/>
        </w:numPr>
        <w:pStyle w:val="Compact"/>
      </w:pPr>
      <w:r>
        <w:t xml:space="preserve">Toda la información y gestión previa de la Hackatón (capacitación ya recibida en Bizagi, contacto con profesores jurados, formato del caso) está documentada en un</w:t>
      </w:r>
      <w:r>
        <w:t xml:space="preserve"> </w:t>
      </w:r>
      <w:r>
        <w:rPr>
          <w:bCs/>
          <w:b/>
        </w:rPr>
        <w:t xml:space="preserve">proyecto de estudio</w:t>
      </w:r>
      <w:r>
        <w:t xml:space="preserve"> </w:t>
      </w:r>
      <w:r>
        <w:t xml:space="preserve">cuyo responsable histórico es identificado en la conversación como</w:t>
      </w:r>
      <w:r>
        <w:t xml:space="preserve"> </w:t>
      </w:r>
      <w:r>
        <w:rPr>
          <w:bCs/>
          <w:b/>
        </w:rPr>
        <w:t xml:space="preserve">“</w:t>
      </w:r>
      <w:r>
        <w:rPr>
          <w:bCs/>
          <w:b/>
        </w:rPr>
        <w:t xml:space="preserve">Gau</w:t>
      </w:r>
      <w:r>
        <w:rPr>
          <w:bCs/>
          <w:b/>
        </w:rPr>
        <w:t xml:space="preserve">”</w:t>
      </w:r>
      <w:r>
        <w:t xml:space="preserve"> </w:t>
      </w:r>
      <w:r>
        <w:t xml:space="preserve">(con apoyo de</w:t>
      </w:r>
      <w:r>
        <w:t xml:space="preserve"> </w:t>
      </w:r>
      <w:r>
        <w:rPr>
          <w:bCs/>
          <w:b/>
        </w:rPr>
        <w:t xml:space="preserve">Ángela</w:t>
      </w:r>
      <w:r>
        <w:t xml:space="preserve">); se recomienda explícitamente consultarle cualquier duda pendiente.</w:t>
      </w:r>
    </w:p>
    <w:p>
      <w:pPr>
        <w:numPr>
          <w:ilvl w:val="0"/>
          <w:numId w:val="1006"/>
        </w:numPr>
        <w:pStyle w:val="Compact"/>
      </w:pPr>
      <w:r>
        <w:t xml:space="preserve">Antecedente: en el semestre anterior a 2026-1 la Hackatón se había planeado pero</w:t>
      </w:r>
      <w:r>
        <w:t xml:space="preserve"> </w:t>
      </w:r>
      <w:r>
        <w:rPr>
          <w:bCs/>
          <w:b/>
        </w:rPr>
        <w:t xml:space="preserve">se canceló por baja participación esperada</w:t>
      </w:r>
      <w:r>
        <w:t xml:space="preserve">. Para 2026-2, al hacerse en las primeras semanas del semestre (segunda/tercera semana), se considera más viable.</w:t>
      </w:r>
    </w:p>
    <w:p>
      <w:pPr>
        <w:numPr>
          <w:ilvl w:val="0"/>
          <w:numId w:val="1006"/>
        </w:numPr>
        <w:pStyle w:val="Compact"/>
      </w:pPr>
      <w:r>
        <w:t xml:space="preserve">Premios propuestos para la Hackatón (parte de la propuesta de presupuesto ampliada, ver 4.4): cupos gratuitos en diplomados del CIID para el primer puesto, y bonos redimibles en la Tienda UNAL más cupos en cursos de la UIFCE para segundo y tercer puesto.</w:t>
      </w:r>
    </w:p>
    <w:bookmarkEnd w:id="26"/>
    <w:bookmarkStart w:id="27" w:name="X0ca8f7f38c159509cc6fc666157831c5e55eb8d"/>
    <w:p>
      <w:pPr>
        <w:pStyle w:val="Heading2"/>
      </w:pPr>
      <w:r>
        <w:t xml:space="preserve">4.3 Microtaller de Introducción a la Lógica de Programación</w:t>
      </w:r>
    </w:p>
    <w:p>
      <w:pPr>
        <w:numPr>
          <w:ilvl w:val="0"/>
          <w:numId w:val="1007"/>
        </w:numPr>
        <w:pStyle w:val="Compact"/>
      </w:pPr>
      <w:r>
        <w:t xml:space="preserve">Microtaller de entrada libre, ya comprometido con el monitor</w:t>
      </w:r>
      <w:r>
        <w:t xml:space="preserve"> </w:t>
      </w:r>
      <w:r>
        <w:rPr>
          <w:bCs/>
          <w:b/>
        </w:rPr>
        <w:t xml:space="preserve">“</w:t>
      </w:r>
      <w:r>
        <w:rPr>
          <w:bCs/>
          <w:b/>
        </w:rPr>
        <w:t xml:space="preserve">Jonny</w:t>
      </w:r>
      <w:r>
        <w:rPr>
          <w:bCs/>
          <w:b/>
        </w:rPr>
        <w:t xml:space="preserve">”</w:t>
      </w:r>
      <w:r>
        <w:t xml:space="preserve">, quien ya confirmó dictarlo. Pendiente únicamente definir con él el horario exacto.</w:t>
      </w:r>
    </w:p>
    <w:bookmarkEnd w:id="27"/>
    <w:bookmarkStart w:id="28" w:name="conferencia-con-invitado-externo"/>
    <w:p>
      <w:pPr>
        <w:pStyle w:val="Heading2"/>
      </w:pPr>
      <w:r>
        <w:t xml:space="preserve">4.4 Conferencia con invitado externo</w:t>
      </w:r>
    </w:p>
    <w:p>
      <w:pPr>
        <w:numPr>
          <w:ilvl w:val="0"/>
          <w:numId w:val="1008"/>
        </w:numPr>
        <w:pStyle w:val="Compact"/>
      </w:pPr>
      <w:r>
        <w:t xml:space="preserve">La idea es traer a alguien del sector empresarial en un rol similar al de un antecedente ya logrado (se trajo previamente a una persona identificada como</w:t>
      </w:r>
      <w:r>
        <w:t xml:space="preserve"> </w:t>
      </w:r>
      <w:r>
        <w:t xml:space="preserve">“</w:t>
      </w:r>
      <w:r>
        <w:t xml:space="preserve">Fredy Vega</w:t>
      </w:r>
      <w:r>
        <w:t xml:space="preserve">”</w:t>
      </w:r>
      <w:r>
        <w:t xml:space="preserve">, contactada por medio de un profesor con muchos contactos, apellido</w:t>
      </w:r>
      <w:r>
        <w:t xml:space="preserve"> </w:t>
      </w:r>
      <w:r>
        <w:rPr>
          <w:bCs/>
          <w:b/>
        </w:rPr>
        <w:t xml:space="preserve">Montoya</w:t>
      </w:r>
      <w:r>
        <w:t xml:space="preserve">).</w:t>
      </w:r>
    </w:p>
    <w:p>
      <w:pPr>
        <w:numPr>
          <w:ilvl w:val="0"/>
          <w:numId w:val="1008"/>
        </w:numPr>
        <w:pStyle w:val="Compact"/>
      </w:pPr>
      <w:r>
        <w:t xml:space="preserve">Para 2026-2 se está gestionando, por el mismo canal (profesor Montoya, quien puede ser lento en responder y requiere seguimiento constante), un contacto en una empresa del sector farmacéutico mencionada como</w:t>
      </w:r>
      <w:r>
        <w:t xml:space="preserve"> </w:t>
      </w:r>
      <w:r>
        <w:t xml:space="preserve">“</w:t>
      </w:r>
      <w:r>
        <w:t xml:space="preserve">Johnson &amp; Johnson</w:t>
      </w:r>
      <w:r>
        <w:t xml:space="preserve">”</w:t>
      </w:r>
      <w:r>
        <w:t xml:space="preserve">, a través de una persona de Recursos Humanos de esa empresa. El intermediario directo del contacto es</w:t>
      </w:r>
      <w:r>
        <w:t xml:space="preserve"> </w:t>
      </w:r>
      <w:r>
        <w:rPr>
          <w:bCs/>
          <w:b/>
        </w:rPr>
        <w:t xml:space="preserve">Daniel</w:t>
      </w:r>
      <w:r>
        <w:t xml:space="preserve">, a quien hay que recordarle activamente que le insista a Montoya.</w:t>
      </w:r>
    </w:p>
    <w:p>
      <w:pPr>
        <w:numPr>
          <w:ilvl w:val="0"/>
          <w:numId w:val="1008"/>
        </w:numPr>
        <w:pStyle w:val="Compact"/>
      </w:pPr>
      <w:r>
        <w:t xml:space="preserve">Fecha límite mencionada para tener esto resuelto:</w:t>
      </w:r>
      <w:r>
        <w:t xml:space="preserve"> </w:t>
      </w:r>
      <w:r>
        <w:rPr>
          <w:bCs/>
          <w:b/>
        </w:rPr>
        <w:t xml:space="preserve">17 de septiembre</w:t>
      </w:r>
      <w:r>
        <w:t xml:space="preserve"> </w:t>
      </w:r>
      <w:r>
        <w:t xml:space="preserve">(fecha de la conferencia).</w:t>
      </w:r>
    </w:p>
    <w:p>
      <w:pPr>
        <w:numPr>
          <w:ilvl w:val="0"/>
          <w:numId w:val="1008"/>
        </w:numPr>
        <w:pStyle w:val="Compact"/>
      </w:pPr>
      <w:r>
        <w:t xml:space="preserve">Hay que coordinar transporte/recepción del invitado.</w:t>
      </w:r>
    </w:p>
    <w:bookmarkEnd w:id="28"/>
    <w:bookmarkStart w:id="29" w:name="stand-de-las-áreas-uifce"/>
    <w:p>
      <w:pPr>
        <w:pStyle w:val="Heading2"/>
      </w:pPr>
      <w:r>
        <w:t xml:space="preserve">4.5 Stand de las áreas UIFCE</w:t>
      </w:r>
    </w:p>
    <w:p>
      <w:pPr>
        <w:numPr>
          <w:ilvl w:val="0"/>
          <w:numId w:val="1009"/>
        </w:numPr>
        <w:pStyle w:val="Compact"/>
      </w:pPr>
      <w:r>
        <w:t xml:space="preserve">Adicional a lo anterior, se propone un</w:t>
      </w:r>
      <w:r>
        <w:t xml:space="preserve"> </w:t>
      </w:r>
      <w:r>
        <w:rPr>
          <w:bCs/>
          <w:b/>
        </w:rPr>
        <w:t xml:space="preserve">stand físico por cada una de las áreas de la UIFCE</w:t>
      </w:r>
      <w:r>
        <w:t xml:space="preserve"> </w:t>
      </w:r>
      <w:r>
        <w:t xml:space="preserve">(mencionadas: Apoyos Académicos, Gestión del Conocimiento, Desarrollo, Virtualización — con posible quinta área) en el pasillo entre la biblioteca y la entrada al edificio (salón 3-10), con mesas y sillas, para que cada área explique de forma libre qué hace y qué proyectos ha desarrollado. Franja horaria sugerida: 9 a.m.–12 p.m., el martes de la semana del evento. Fue una idea explícitamente respaldada por el profesor.</w:t>
      </w:r>
    </w:p>
    <w:bookmarkEnd w:id="29"/>
    <w:bookmarkStart w:id="30" w:name="Xb81e97e1606766912852ecedfdfdb197675d54c"/>
    <w:p>
      <w:pPr>
        <w:pStyle w:val="Heading2"/>
      </w:pPr>
      <w:r>
        <w:t xml:space="preserve">4.6 Apoyo de estudiantes de corresponsabilidad para el evento</w:t>
      </w:r>
    </w:p>
    <w:p>
      <w:pPr>
        <w:numPr>
          <w:ilvl w:val="0"/>
          <w:numId w:val="1010"/>
        </w:numPr>
        <w:pStyle w:val="Compact"/>
      </w:pPr>
      <w:r>
        <w:t xml:space="preserve">Se solicitan estudiantes de corresponsabilidad (ver numeral 10) para: acompañamiento durante los tres días de la Hackatón, apoyo con refrigerios y con el diligenciami000nto de encuestas de inscripción/asistencia (2 personas), y apoyo de convocatoria durante el microtaller (1 persona).</w:t>
      </w:r>
    </w:p>
    <w:p>
      <w:pPr>
        <w:numPr>
          <w:ilvl w:val="0"/>
          <w:numId w:val="1010"/>
        </w:numPr>
        <w:pStyle w:val="Compact"/>
      </w:pPr>
      <w:r>
        <w:t xml:space="preserve">Recomendación: aunque preferiblemente deben ser estudiantes de la Facultad de Ciencias Económicas, se puede extender a estudiantes de otras facultades (se mencionó Ingeniería) sin problema si no se consigue el número necesario dentro de la Facultad.</w:t>
      </w:r>
    </w:p>
    <w:p>
      <w:pPr>
        <w:numPr>
          <w:ilvl w:val="0"/>
          <w:numId w:val="1010"/>
        </w:numPr>
        <w:pStyle w:val="Compact"/>
      </w:pPr>
      <w:r>
        <w:t xml:space="preserve">Recomendación estratégica explícita: iniciar la difusión de la Hackatón</w:t>
      </w:r>
      <w:r>
        <w:t xml:space="preserve"> </w:t>
      </w:r>
      <w:r>
        <w:rPr>
          <w:bCs/>
          <w:b/>
        </w:rPr>
        <w:t xml:space="preserve">con bastante anticipación</w:t>
      </w:r>
      <w:r>
        <w:t xml:space="preserve"> </w:t>
      </w:r>
      <w:r>
        <w:t xml:space="preserve">para que los grupos se vayan armando, en vez de anunciarla de un día para otro como ocurrió el semestre en que se canceló por baja participación.</w:t>
      </w:r>
    </w:p>
    <w:bookmarkEnd w:id="30"/>
    <w:bookmarkStart w:id="31" w:name="Xd13d340f8b3ad6534801ce074e451dad9e3a96e"/>
    <w:p>
      <w:pPr>
        <w:pStyle w:val="Heading2"/>
      </w:pPr>
      <w:r>
        <w:t xml:space="preserve">4.7 Propuesta de presupuesto ampliada (patrocinios y refrigerios)</w:t>
      </w:r>
    </w:p>
    <w:p>
      <w:pPr>
        <w:numPr>
          <w:ilvl w:val="0"/>
          <w:numId w:val="1011"/>
        </w:numPr>
        <w:pStyle w:val="Compact"/>
      </w:pPr>
      <w:r>
        <w:t xml:space="preserve">Existe ya, en el Drive, un documento llamado</w:t>
      </w:r>
      <w:r>
        <w:t xml:space="preserve"> </w:t>
      </w:r>
      <w:r>
        <w:rPr>
          <w:bCs/>
          <w:b/>
        </w:rPr>
        <w:t xml:space="preserve">“</w:t>
      </w:r>
      <w:r>
        <w:rPr>
          <w:bCs/>
          <w:b/>
        </w:rPr>
        <w:t xml:space="preserve">Propuesta de presupuesto ampliada</w:t>
      </w:r>
      <w:r>
        <w:rPr>
          <w:bCs/>
          <w:b/>
        </w:rPr>
        <w:t xml:space="preserve">”</w:t>
      </w:r>
      <w:r>
        <w:t xml:space="preserve">, con anexos de cotizaciones (identificados como anexo 2: kit escolar, y anexo 3: refrigerios).</w:t>
      </w:r>
    </w:p>
    <w:p>
      <w:pPr>
        <w:numPr>
          <w:ilvl w:val="0"/>
          <w:numId w:val="1011"/>
        </w:numPr>
        <w:pStyle w:val="Compact"/>
      </w:pPr>
      <w:r>
        <w:rPr>
          <w:bCs/>
          <w:b/>
        </w:rPr>
        <w:t xml:space="preserve">Cupos en diplomados del CIID</w:t>
      </w:r>
      <w:r>
        <w:t xml:space="preserve"> </w:t>
      </w:r>
      <w:r>
        <w:t xml:space="preserve">(Centro de Investigaciones para el Desarrollo — CIID, no confundir con</w:t>
      </w:r>
      <w:r>
        <w:t xml:space="preserve"> </w:t>
      </w:r>
      <w:r>
        <w:t xml:space="preserve">“</w:t>
      </w:r>
      <w:r>
        <w:t xml:space="preserve">CIB</w:t>
      </w:r>
      <w:r>
        <w:t xml:space="preserve">”</w:t>
      </w:r>
      <w:r>
        <w:t xml:space="preserve">): contacto directo</w:t>
      </w:r>
      <w:r>
        <w:t xml:space="preserve"> </w:t>
      </w:r>
      <w:r>
        <w:rPr>
          <w:bCs/>
          <w:b/>
        </w:rPr>
        <w:t xml:space="preserve">Carlos Osorio Ramírez</w:t>
      </w:r>
      <w:r>
        <w:t xml:space="preserve">, director. Ya se había conversado con él en un semestre anterior y había aceptado en principio dar cupos gratuitos en cursos/diplomados que ya hayan superado su punto de equilibrio financiero (es decir, cupos adicionales que no representan costo real para la Facultad). Pendiente: retomar la conversación y formalizarla para 2026-2 (</w:t>
      </w:r>
      <w:r>
        <w:t xml:space="preserve">“</w:t>
      </w:r>
      <w:r>
        <w:t xml:space="preserve">recordarle que hace un año hablamos de esto, y este semestre lo queremos hacer realidad</w:t>
      </w:r>
      <w:r>
        <w:t xml:space="preserve">”</w:t>
      </w:r>
      <w:r>
        <w:t xml:space="preserve">).</w:t>
      </w:r>
    </w:p>
    <w:p>
      <w:pPr>
        <w:numPr>
          <w:ilvl w:val="0"/>
          <w:numId w:val="1011"/>
        </w:numPr>
        <w:pStyle w:val="Compact"/>
      </w:pPr>
      <w:r>
        <w:rPr>
          <w:bCs/>
          <w:b/>
        </w:rPr>
        <w:t xml:space="preserve">Refrigerios y bonos</w:t>
      </w:r>
      <w:r>
        <w:t xml:space="preserve"> </w:t>
      </w:r>
      <w:r>
        <w:t xml:space="preserve">(para el microtaller, la Hackatón y los jurados): se gestionan a través de la Vicedecanatura de Investigación y Extensión, incluyéndolos dentro del presupuesto que esa dependencia administra. El correo de la propuesta ya fue enviado desde el correo institucional de la unidad; falta confirmar si fue aprobada — se sugiere escribir un mensaje de seguimiento directo preguntando el estado.</w:t>
      </w:r>
    </w:p>
    <w:p>
      <w:pPr>
        <w:numPr>
          <w:ilvl w:val="0"/>
          <w:numId w:val="1011"/>
        </w:numPr>
        <w:pStyle w:val="Compact"/>
      </w:pPr>
      <w:r>
        <w:t xml:space="preserve">Cotización de refrigerios ya gestionada con el proveedor</w:t>
      </w:r>
      <w:r>
        <w:t xml:space="preserve"> </w:t>
      </w:r>
      <w:r>
        <w:rPr>
          <w:bCs/>
          <w:b/>
        </w:rPr>
        <w:t xml:space="preserve">Colombia Gourmet</w:t>
      </w:r>
      <w:r>
        <w:t xml:space="preserve"> </w:t>
      </w:r>
      <w:r>
        <w:t xml:space="preserve">(el mismo que usa habitualmente la Facultad de Derecho, edificio vecino), a nombre del profesor Henry, para agilizar la aprobación.</w:t>
      </w:r>
    </w:p>
    <w:p>
      <w:pPr>
        <w:numPr>
          <w:ilvl w:val="0"/>
          <w:numId w:val="1011"/>
        </w:numPr>
        <w:pStyle w:val="Compact"/>
      </w:pPr>
      <w:r>
        <w:t xml:space="preserve">Cotización del kit escolar ya gestionada con la papelería</w:t>
      </w:r>
      <w:r>
        <w:t xml:space="preserve"> </w:t>
      </w:r>
      <w:r>
        <w:rPr>
          <w:bCs/>
          <w:b/>
        </w:rPr>
        <w:t xml:space="preserve">Doneta</w:t>
      </w:r>
      <w:r>
        <w:t xml:space="preserve">, proveedor ya usado habitualmente por la Facultad para compras de este tipo (agiliza el visto bueno administrativo frente a cotizar con un proveedor nuevo).</w:t>
      </w:r>
    </w:p>
    <w:p>
      <w:pPr>
        <w:numPr>
          <w:ilvl w:val="0"/>
          <w:numId w:val="1011"/>
        </w:numPr>
        <w:pStyle w:val="Compact"/>
      </w:pPr>
      <w:r>
        <w:t xml:space="preserve">Flujo recomendado para formalizar el presupuesto: (1) agendar reunión con la Vicedecanatura, (2) una vez agendada, coordinar con el profesor Henry para que él también participe y presente la propuesta directamente ante el vicedecano/a.</w:t>
      </w:r>
    </w:p>
    <w:p>
      <w:r>
        <w:pict>
          <v:rect style="width:0;height:1.5pt" o:hralign="center" o:hrstd="t" o:hr="t"/>
        </w:pict>
      </w:r>
    </w:p>
    <w:bookmarkEnd w:id="31"/>
    <w:bookmarkEnd w:id="32"/>
    <w:bookmarkStart w:id="33" w:name="extensión-solidaria-01220129"/>
    <w:p>
      <w:pPr>
        <w:pStyle w:val="Heading1"/>
      </w:pPr>
      <w:r>
        <w:t xml:space="preserve">5. Extensión Solidaria</w:t>
      </w:r>
      <w:r>
        <w:t xml:space="preserve"> </w:t>
      </w:r>
      <w:r>
        <w:rPr>
          <w:rStyle w:val="VerbatimChar"/>
        </w:rPr>
        <w:t xml:space="preserve">[01:22–01:29]</w:t>
      </w:r>
    </w:p>
    <w:p>
      <w:pPr>
        <w:numPr>
          <w:ilvl w:val="0"/>
          <w:numId w:val="1012"/>
        </w:numPr>
        <w:pStyle w:val="Compact"/>
      </w:pPr>
      <w:r>
        <w:t xml:space="preserve">Propuesta de continuidad, ya con</w:t>
      </w:r>
      <w:r>
        <w:t xml:space="preserve"> </w:t>
      </w:r>
      <w:r>
        <w:rPr>
          <w:bCs/>
          <w:b/>
        </w:rPr>
        <w:t xml:space="preserve">propuesta técnica aprobada por el profesor Henry</w:t>
      </w:r>
      <w:r>
        <w:t xml:space="preserve">, pendiente únicamente de</w:t>
      </w:r>
      <w:r>
        <w:t xml:space="preserve"> </w:t>
      </w:r>
      <w:r>
        <w:rPr>
          <w:bCs/>
          <w:b/>
        </w:rPr>
        <w:t xml:space="preserve">consecución de presupuesto</w:t>
      </w:r>
      <w:r>
        <w:t xml:space="preserve">.</w:t>
      </w:r>
    </w:p>
    <w:p>
      <w:pPr>
        <w:numPr>
          <w:ilvl w:val="0"/>
          <w:numId w:val="1012"/>
        </w:numPr>
        <w:pStyle w:val="Compact"/>
      </w:pPr>
      <w:r>
        <w:t xml:space="preserve">Consiste en capacitar en Excel a madres cabeza de familia, identificadas a través de</w:t>
      </w:r>
      <w:r>
        <w:t xml:space="preserve"> </w:t>
      </w:r>
      <w:r>
        <w:rPr>
          <w:bCs/>
          <w:b/>
        </w:rPr>
        <w:t xml:space="preserve">Bienestar Universitario</w:t>
      </w:r>
      <w:r>
        <w:t xml:space="preserve"> </w:t>
      </w:r>
      <w:r>
        <w:t xml:space="preserve">(Bienestar tiene la información de las familias beneficiarias de vivienda/subsidio de este tipo de programas — la referencia exacta al programa de vivienda no quedó del todo clara en el audio, pero se confirmó que es información que administra Bienestar).</w:t>
      </w:r>
    </w:p>
    <w:p>
      <w:pPr>
        <w:numPr>
          <w:ilvl w:val="0"/>
          <w:numId w:val="1012"/>
        </w:numPr>
        <w:pStyle w:val="Compact"/>
      </w:pPr>
      <w:r>
        <w:t xml:space="preserve">Se contemplan dos beneficios complementarios para las participantes: un refrigerio por sesión y/o un kit escolar para que lo lleven a sus hijos. Ambas cotizaciones (kit escolar con Doneta, refrigerios con Colombia Gourmet) ya existen como anexos del mismo documento de presupuesto ampliado mencionado en el numeral 4.7.</w:t>
      </w:r>
    </w:p>
    <w:p>
      <w:pPr>
        <w:numPr>
          <w:ilvl w:val="0"/>
          <w:numId w:val="1012"/>
        </w:numPr>
        <w:pStyle w:val="Compact"/>
      </w:pPr>
      <w:r>
        <w:rPr>
          <w:bCs/>
          <w:b/>
        </w:rPr>
        <w:t xml:space="preserve">Nota crítica de timing</w:t>
      </w:r>
      <w:r>
        <w:t xml:space="preserve">: el profesor Henry recomendó</w:t>
      </w:r>
      <w:r>
        <w:t xml:space="preserve"> </w:t>
      </w:r>
      <w:r>
        <w:rPr>
          <w:bCs/>
          <w:b/>
        </w:rPr>
        <w:t xml:space="preserve">esperar el cambio de Vicedecanatura</w:t>
      </w:r>
      <w:r>
        <w:t xml:space="preserve"> </w:t>
      </w:r>
      <w:r>
        <w:t xml:space="preserve">(en curso,</w:t>
      </w:r>
      <w:r>
        <w:t xml:space="preserve"> </w:t>
      </w:r>
      <w:r>
        <w:t xml:space="preserve">“</w:t>
      </w:r>
      <w:r>
        <w:t xml:space="preserve">se cambia en un mes</w:t>
      </w:r>
      <w:r>
        <w:t xml:space="preserve">”</w:t>
      </w:r>
      <w:r>
        <w:t xml:space="preserve"> </w:t>
      </w:r>
      <w:r>
        <w:t xml:space="preserve">al momento de la grabación) antes de tramitar el presupuesto con la administración saliente, para no arriesgarse a que la nueva administración no reconozca compromisos hechos por la anterior. Las dos vías de financiación posibles identificadas son (1) la Vicedecanatura (de Bienestar o de la que administre este tipo de programas) y (2) la Vicedecanatura de Investigación y Extensión, a través de una convocatoria sobre extensión que aún no había salido al momento de la grabación pero que exige que el proyecto esté asociado a una problemática de la ciudad de Bogotá.</w:t>
      </w:r>
    </w:p>
    <w:p>
      <w:pPr>
        <w:numPr>
          <w:ilvl w:val="0"/>
          <w:numId w:val="1012"/>
        </w:numPr>
        <w:pStyle w:val="Compact"/>
      </w:pPr>
      <w:r>
        <w:t xml:space="preserve">Contacto de apoyo para explorar la vía de convocatoria: la misma Sandra Carlos Vargas (Vicedecanatura de Investigación y Extensión).</w:t>
      </w:r>
    </w:p>
    <w:p>
      <w:r>
        <w:pict>
          <v:rect style="width:0;height:1.5pt" o:hralign="center" o:hrstd="t" o:hr="t"/>
        </w:pict>
      </w:r>
    </w:p>
    <w:bookmarkEnd w:id="33"/>
    <w:bookmarkStart w:id="34" w:name="X964258d9e4aa9f9c0d758ff2fb9cf203b1ded28"/>
    <w:p>
      <w:pPr>
        <w:pStyle w:val="Heading1"/>
      </w:pPr>
      <w:r>
        <w:t xml:space="preserve">6. Consentimientos de imagen y gestión de monitores</w:t>
      </w:r>
      <w:r>
        <w:t xml:space="preserve"> </w:t>
      </w:r>
      <w:r>
        <w:rPr>
          <w:rStyle w:val="VerbatimChar"/>
        </w:rPr>
        <w:t xml:space="preserve">[00:44–00:49]</w:t>
      </w:r>
    </w:p>
    <w:p>
      <w:pPr>
        <w:numPr>
          <w:ilvl w:val="0"/>
          <w:numId w:val="1013"/>
        </w:numPr>
        <w:pStyle w:val="Compact"/>
      </w:pPr>
      <w:r>
        <w:t xml:space="preserve">Existe un</w:t>
      </w:r>
      <w:r>
        <w:t xml:space="preserve"> </w:t>
      </w:r>
      <w:r>
        <w:rPr>
          <w:bCs/>
          <w:b/>
        </w:rPr>
        <w:t xml:space="preserve">formulario de consentimiento de imagen</w:t>
      </w:r>
      <w:r>
        <w:t xml:space="preserve"> </w:t>
      </w:r>
      <w:r>
        <w:t xml:space="preserve">para toda persona que vaya a aparecer en el sitio web de la unidad (dominio institucional FSE/FCE), con versiones individuales por persona.</w:t>
      </w:r>
    </w:p>
    <w:p>
      <w:pPr>
        <w:numPr>
          <w:ilvl w:val="0"/>
          <w:numId w:val="1013"/>
        </w:numPr>
        <w:pStyle w:val="Compact"/>
      </w:pPr>
      <w:r>
        <w:t xml:space="preserve">El proceso está automatizado con un</w:t>
      </w:r>
      <w:r>
        <w:t xml:space="preserve"> </w:t>
      </w:r>
      <w:r>
        <w:rPr>
          <w:bCs/>
          <w:b/>
        </w:rPr>
        <w:t xml:space="preserve">script (Apps Script/Google Apps Script)</w:t>
      </w:r>
      <w:r>
        <w:t xml:space="preserve"> </w:t>
      </w:r>
      <w:r>
        <w:t xml:space="preserve">que toma como insumo una plantilla y una lista de monitores (nombre, cargo y una columna para marcar género, usada para adaptar el texto del documento) y genera automáticamente un documento de consentimiento individual por persona con un código único. El script vive en el mismo Drive de ET; basta correrlo tras actualizar la lista de monitores.</w:t>
      </w:r>
    </w:p>
    <w:p>
      <w:pPr>
        <w:numPr>
          <w:ilvl w:val="0"/>
          <w:numId w:val="1013"/>
        </w:numPr>
        <w:pStyle w:val="Compact"/>
      </w:pPr>
      <w:r>
        <w:t xml:space="preserve">Flujo posterior: cada monitor entra a la carpeta compartida, descarga el documento con su nombre, lo firma y lo sube a la carpeta de</w:t>
      </w:r>
      <w:r>
        <w:t xml:space="preserve"> </w:t>
      </w:r>
      <w:r>
        <w:t xml:space="preserve">“</w:t>
      </w:r>
      <w:r>
        <w:t xml:space="preserve">consentimientos firmados</w:t>
      </w:r>
      <w:r>
        <w:t xml:space="preserve">”</w:t>
      </w:r>
      <w:r>
        <w:t xml:space="preserve">.</w:t>
      </w:r>
    </w:p>
    <w:p>
      <w:r>
        <w:pict>
          <v:rect style="width:0;height:1.5pt" o:hralign="center" o:hrstd="t" o:hr="t"/>
        </w:pict>
      </w:r>
    </w:p>
    <w:bookmarkEnd w:id="34"/>
    <w:bookmarkStart w:id="35" w:name="X0deabfd981c39d13327f92ceed0fa539734227d"/>
    <w:p>
      <w:pPr>
        <w:pStyle w:val="Heading1"/>
      </w:pPr>
      <w:r>
        <w:t xml:space="preserve">7. Imagen institucional (reunión con Unimedios)</w:t>
      </w:r>
      <w:r>
        <w:t xml:space="preserve"> </w:t>
      </w:r>
      <w:r>
        <w:rPr>
          <w:rStyle w:val="VerbatimChar"/>
        </w:rPr>
        <w:t xml:space="preserve">[01:04–01:06]</w:t>
      </w:r>
    </w:p>
    <w:p>
      <w:pPr>
        <w:numPr>
          <w:ilvl w:val="0"/>
          <w:numId w:val="1014"/>
        </w:numPr>
        <w:pStyle w:val="Compact"/>
      </w:pPr>
      <w:r>
        <w:t xml:space="preserve">Existe un documento resumen (</w:t>
      </w:r>
      <w:r>
        <w:rPr>
          <w:bCs/>
          <w:b/>
        </w:rPr>
        <w:t xml:space="preserve">“</w:t>
      </w:r>
      <w:r>
        <w:rPr>
          <w:bCs/>
          <w:b/>
        </w:rPr>
        <w:t xml:space="preserve">Imagen institucional</w:t>
      </w:r>
      <w:r>
        <w:rPr>
          <w:bCs/>
          <w:b/>
        </w:rPr>
        <w:t xml:space="preserve">”</w:t>
      </w:r>
      <w:r>
        <w:t xml:space="preserve">, carpeta 3 del Drive de ET) que condensa lo que normalmente se explica en una reunión de aproximadamente dos horas con el equipo de</w:t>
      </w:r>
      <w:r>
        <w:t xml:space="preserve"> </w:t>
      </w:r>
      <w:r>
        <w:rPr>
          <w:bCs/>
          <w:b/>
        </w:rPr>
        <w:t xml:space="preserve">Imagen Institucional / Unimedios</w:t>
      </w:r>
      <w:r>
        <w:t xml:space="preserve">: cuándo usar la franja institucional, el escudo, los márgenes y demás lineamientos de identidad visual de la Universidad Nacional.</w:t>
      </w:r>
    </w:p>
    <w:p>
      <w:pPr>
        <w:numPr>
          <w:ilvl w:val="0"/>
          <w:numId w:val="1014"/>
        </w:numPr>
        <w:pStyle w:val="Compact"/>
      </w:pPr>
      <w:r>
        <w:t xml:space="preserve">Se recomienda explícitamente que este documento lo lean tanto la nueva máster como todo su equipo, y en particular la persona que asuma el rol de</w:t>
      </w:r>
      <w:r>
        <w:t xml:space="preserve"> </w:t>
      </w:r>
      <w:r>
        <w:rPr>
          <w:bCs/>
          <w:b/>
        </w:rPr>
        <w:t xml:space="preserve">monitora de artes</w:t>
      </w:r>
      <w:r>
        <w:t xml:space="preserve"> </w:t>
      </w:r>
      <w:r>
        <w:t xml:space="preserve">(identificada como María Fernanda), quien ya tenía cierto conocimiento previo del tema.</w:t>
      </w:r>
    </w:p>
    <w:p>
      <w:pPr>
        <w:numPr>
          <w:ilvl w:val="0"/>
          <w:numId w:val="1014"/>
        </w:numPr>
        <w:pStyle w:val="Compact"/>
      </w:pPr>
      <w:r>
        <w:t xml:space="preserve">Se puede agendar una reunión directa con Unimedios por correo (buscando la etiqueta/plantilla de correos anteriores con ellos); las reuniones tienden a agendarse los viernes.</w:t>
      </w:r>
    </w:p>
    <w:p>
      <w:r>
        <w:pict>
          <v:rect style="width:0;height:1.5pt" o:hralign="center" o:hrstd="t" o:hr="t"/>
        </w:pict>
      </w:r>
    </w:p>
    <w:bookmarkEnd w:id="35"/>
    <w:bookmarkStart w:id="41" w:name="Xaee309deb3d6bcf76d3ebc153e0ffc1e0f6bcc7"/>
    <w:p>
      <w:pPr>
        <w:pStyle w:val="Heading1"/>
      </w:pPr>
      <w:r>
        <w:t xml:space="preserve">8. Microtalleres: estandarización, agendamiento y certificación</w:t>
      </w:r>
      <w:r>
        <w:t xml:space="preserve"> </w:t>
      </w:r>
      <w:r>
        <w:rPr>
          <w:rStyle w:val="VerbatimChar"/>
        </w:rPr>
        <w:t xml:space="preserve">[01:29–01:39]</w:t>
      </w:r>
    </w:p>
    <w:bookmarkStart w:id="36" w:name="manual-de-estandarización-ya-existente"/>
    <w:p>
      <w:pPr>
        <w:pStyle w:val="Heading2"/>
      </w:pPr>
      <w:r>
        <w:t xml:space="preserve">8.1 Manual de estandarización (ya existente)</w:t>
      </w:r>
    </w:p>
    <w:p>
      <w:pPr>
        <w:numPr>
          <w:ilvl w:val="0"/>
          <w:numId w:val="1015"/>
        </w:numPr>
        <w:pStyle w:val="Compact"/>
      </w:pPr>
      <w:r>
        <w:t xml:space="preserve">Este semestre (2026-1) se redactó, por primera vez, un</w:t>
      </w:r>
      <w:r>
        <w:t xml:space="preserve"> </w:t>
      </w:r>
      <w:r>
        <w:rPr>
          <w:bCs/>
          <w:b/>
        </w:rPr>
        <w:t xml:space="preserve">manual de estandarización de microtalleres y microeventos</w:t>
      </w:r>
      <w:r>
        <w:t xml:space="preserve">, para definir con claridad qué es un microtaller, qué es un microevento, y para qué sirve cada uno, los roles del máster ET y de las demás personas involucradas, y</w:t>
      </w:r>
      <w:r>
        <w:t xml:space="preserve"> </w:t>
      </w:r>
      <w:r>
        <w:rPr>
          <w:bCs/>
          <w:b/>
        </w:rPr>
        <w:t xml:space="preserve">el mínimo de participantes según la capacidad de la sala</w:t>
      </w:r>
      <w:r>
        <w:t xml:space="preserve"> </w:t>
      </w:r>
      <w:r>
        <w:t xml:space="preserve">asignada (ej.: 15 personas es razonable en una sala pequeña tipo Sala 1/2/3, pero insuficiente en una sala más grande como la Sala 6). Si se inscriben menos personas que el mínimo definido para la sala, el criterio es cancelar el microtaller.</w:t>
      </w:r>
    </w:p>
    <w:bookmarkEnd w:id="36"/>
    <w:bookmarkStart w:id="37" w:name="X977307aa0c1d0bc2fbe8329da667391cd9c5883"/>
    <w:p>
      <w:pPr>
        <w:pStyle w:val="Heading2"/>
      </w:pPr>
      <w:r>
        <w:t xml:space="preserve">8.2 Lección aprendida: inscripción vs. asistencia real</w:t>
      </w:r>
    </w:p>
    <w:p>
      <w:pPr>
        <w:numPr>
          <w:ilvl w:val="0"/>
          <w:numId w:val="1016"/>
        </w:numPr>
        <w:pStyle w:val="Compact"/>
      </w:pPr>
      <w:r>
        <w:t xml:space="preserve">La alta brecha entre inscritos y asistentes reales fue un problema recurrente. Se probaron dos medidas: (1) enviar correo de confirmación explicando que solo se comparte la grabación con quienes efectivamente asistieron (no tuvo el efecto esperado); (2) flexibilizar el cupo aceptando inscripciones por encima de la capacidad real, sabiendo que no todos asistirían. Se dejó como aprendizaje abierto para la máster entrante, sin una solución definitiva.</w:t>
      </w:r>
    </w:p>
    <w:bookmarkEnd w:id="37"/>
    <w:bookmarkStart w:id="38" w:name="flujo-operativo-de-un-microtaller"/>
    <w:p>
      <w:pPr>
        <w:pStyle w:val="Heading2"/>
      </w:pPr>
      <w:r>
        <w:t xml:space="preserve">8.3 Flujo operativo de un microtaller</w:t>
      </w:r>
    </w:p>
    <w:p>
      <w:pPr>
        <w:numPr>
          <w:ilvl w:val="0"/>
          <w:numId w:val="1017"/>
        </w:numPr>
        <w:pStyle w:val="Compact"/>
      </w:pPr>
      <w:r>
        <w:t xml:space="preserve">Agendar primero al</w:t>
      </w:r>
      <w:r>
        <w:t xml:space="preserve"> </w:t>
      </w:r>
      <w:r>
        <w:rPr>
          <w:bCs/>
          <w:b/>
        </w:rPr>
        <w:t xml:space="preserve">monitor</w:t>
      </w:r>
      <w:r>
        <w:t xml:space="preserve"> </w:t>
      </w:r>
      <w:r>
        <w:t xml:space="preserve">que lo dictará (confirmando su disponibilidad horaria).</w:t>
      </w:r>
    </w:p>
    <w:p>
      <w:pPr>
        <w:numPr>
          <w:ilvl w:val="0"/>
          <w:numId w:val="1017"/>
        </w:numPr>
        <w:pStyle w:val="Compact"/>
      </w:pPr>
      <w:r>
        <w:t xml:space="preserve">Agendar la</w:t>
      </w:r>
      <w:r>
        <w:t xml:space="preserve"> </w:t>
      </w:r>
      <w:r>
        <w:rPr>
          <w:bCs/>
          <w:b/>
        </w:rPr>
        <w:t xml:space="preserve">sala</w:t>
      </w:r>
      <w:r>
        <w:t xml:space="preserve">.</w:t>
      </w:r>
    </w:p>
    <w:p>
      <w:pPr>
        <w:numPr>
          <w:ilvl w:val="0"/>
          <w:numId w:val="1017"/>
        </w:numPr>
        <w:pStyle w:val="Compact"/>
      </w:pPr>
      <w:r>
        <w:t xml:space="preserve">Enviar el</w:t>
      </w:r>
      <w:r>
        <w:t xml:space="preserve"> </w:t>
      </w:r>
      <w:r>
        <w:rPr>
          <w:bCs/>
          <w:b/>
        </w:rPr>
        <w:t xml:space="preserve">correo de inscripción</w:t>
      </w:r>
      <w:r>
        <w:t xml:space="preserve"> </w:t>
      </w:r>
      <w:r>
        <w:t xml:space="preserve">(formato disponible en la carpeta de microtalleres del Drive).</w:t>
      </w:r>
    </w:p>
    <w:p>
      <w:pPr>
        <w:numPr>
          <w:ilvl w:val="0"/>
          <w:numId w:val="1017"/>
        </w:numPr>
        <w:pStyle w:val="Compact"/>
      </w:pPr>
      <w:r>
        <w:t xml:space="preserve">Confirmar a los primeros inscritos hasta el cupo (40 como capacidad estándar mencionada) y enviar correo de</w:t>
      </w:r>
      <w:r>
        <w:t xml:space="preserve"> </w:t>
      </w:r>
      <w:r>
        <w:t xml:space="preserve">“</w:t>
      </w:r>
      <w:r>
        <w:t xml:space="preserve">no seleccionado</w:t>
      </w:r>
      <w:r>
        <w:t xml:space="preserve">”</w:t>
      </w:r>
      <w:r>
        <w:t xml:space="preserve"> </w:t>
      </w:r>
      <w:r>
        <w:t xml:space="preserve">a los demás, usando también un formato ya existente.</w:t>
      </w:r>
    </w:p>
    <w:p>
      <w:pPr>
        <w:numPr>
          <w:ilvl w:val="0"/>
          <w:numId w:val="1017"/>
        </w:numPr>
        <w:pStyle w:val="Compact"/>
      </w:pPr>
      <w:r>
        <w:t xml:space="preserve">Enviar correo al</w:t>
      </w:r>
      <w:r>
        <w:t xml:space="preserve"> </w:t>
      </w:r>
      <w:r>
        <w:rPr>
          <w:bCs/>
          <w:b/>
        </w:rPr>
        <w:t xml:space="preserve">monitor que dicta</w:t>
      </w:r>
      <w:r>
        <w:t xml:space="preserve"> </w:t>
      </w:r>
      <w:r>
        <w:t xml:space="preserve">el taller, recordándole que debe grabar la sesión y tomar asistencia; ese correo incluye la lista de participantes y el enlace a la encuesta de satisfacción, y una carpeta para que suba el material (diapositivas) que use.</w:t>
      </w:r>
    </w:p>
    <w:p>
      <w:pPr>
        <w:numPr>
          <w:ilvl w:val="0"/>
          <w:numId w:val="1017"/>
        </w:numPr>
        <w:pStyle w:val="Compact"/>
      </w:pPr>
      <w:r>
        <w:t xml:space="preserve">Gestión del Conocimiento (GC) sube posteriormente la grabación del microtaller.</w:t>
      </w:r>
    </w:p>
    <w:p>
      <w:pPr>
        <w:numPr>
          <w:ilvl w:val="0"/>
          <w:numId w:val="1017"/>
        </w:numPr>
        <w:pStyle w:val="Compact"/>
      </w:pPr>
      <w:r>
        <w:t xml:space="preserve">Existe una carpeta por cada microtaller ya dictado, con la copia del formato de inscripción, del de percepción/satisfacción y del material generado por el monitor.</w:t>
      </w:r>
    </w:p>
    <w:bookmarkEnd w:id="38"/>
    <w:bookmarkStart w:id="39" w:name="volumen-recomendado-y-casos-pendientes"/>
    <w:p>
      <w:pPr>
        <w:pStyle w:val="Heading2"/>
      </w:pPr>
      <w:r>
        <w:t xml:space="preserve">8.4 Volumen recomendado y casos pendientes</w:t>
      </w:r>
    </w:p>
    <w:p>
      <w:pPr>
        <w:numPr>
          <w:ilvl w:val="0"/>
          <w:numId w:val="1018"/>
        </w:numPr>
        <w:pStyle w:val="Compact"/>
      </w:pPr>
      <w:r>
        <w:t xml:space="preserve">En 2025-2 se hicieron unos 10 microtalleres, con asistencia decreciente hacia el final (hasta ~2% de asistencia en los últimos). Recomendación explícita para 2026-2:</w:t>
      </w:r>
      <w:r>
        <w:t xml:space="preserve"> </w:t>
      </w:r>
      <w:r>
        <w:rPr>
          <w:bCs/>
          <w:b/>
        </w:rPr>
        <w:t xml:space="preserve">no pasar de 5 microtalleres en el semestre, idealmente 3</w:t>
      </w:r>
      <w:r>
        <w:t xml:space="preserve">, priorizando calidad y asistencia real sobre cantidad.</w:t>
      </w:r>
    </w:p>
    <w:p>
      <w:pPr>
        <w:numPr>
          <w:ilvl w:val="0"/>
          <w:numId w:val="1018"/>
        </w:numPr>
        <w:pStyle w:val="Compact"/>
      </w:pPr>
      <w:r>
        <w:t xml:space="preserve">Microtaller pendiente sin dictar en 2025-2 por baja prioridad frente a otros:</w:t>
      </w:r>
      <w:r>
        <w:t xml:space="preserve"> </w:t>
      </w:r>
      <w:r>
        <w:rPr>
          <w:bCs/>
          <w:b/>
        </w:rPr>
        <w:t xml:space="preserve">“</w:t>
      </w:r>
      <w:r>
        <w:rPr>
          <w:bCs/>
          <w:b/>
        </w:rPr>
        <w:t xml:space="preserve">Análisis espacial aplicado a las ciencias económicas</w:t>
      </w:r>
      <w:r>
        <w:rPr>
          <w:bCs/>
          <w:b/>
        </w:rPr>
        <w:t xml:space="preserve">”</w:t>
      </w:r>
      <w:r>
        <w:t xml:space="preserve">, ya diseñado (5 sesiones) por un ex-monitor de geología,</w:t>
      </w:r>
      <w:r>
        <w:t xml:space="preserve"> </w:t>
      </w:r>
      <w:r>
        <w:rPr>
          <w:bCs/>
          <w:b/>
        </w:rPr>
        <w:t xml:space="preserve">Juan Martínez</w:t>
      </w:r>
      <w:r>
        <w:t xml:space="preserve">, quien manifestó interés en dictarlo. Recomendación: contactarlo directamente para confirmar si lo dicta en 2026-2 (vive/estudia cerca y visita la universidad con frecuencia, así que la logística no es un problema).</w:t>
      </w:r>
    </w:p>
    <w:bookmarkEnd w:id="39"/>
    <w:bookmarkStart w:id="40" w:name="X6733adba8348455855b9891465ccf6028b0cc3b"/>
    <w:p>
      <w:pPr>
        <w:pStyle w:val="Heading2"/>
      </w:pPr>
      <w:r>
        <w:t xml:space="preserve">8.5 Certificados de participación (novedad para 2026-2)</w:t>
      </w:r>
    </w:p>
    <w:p>
      <w:pPr>
        <w:numPr>
          <w:ilvl w:val="0"/>
          <w:numId w:val="1019"/>
        </w:numPr>
        <w:pStyle w:val="Compact"/>
      </w:pPr>
      <w:r>
        <w:t xml:space="preserve">Novedad explícita que la máster saliente recomienda implementar desde ya:</w:t>
      </w:r>
      <w:r>
        <w:t xml:space="preserve"> </w:t>
      </w:r>
      <w:r>
        <w:rPr>
          <w:bCs/>
          <w:b/>
        </w:rPr>
        <w:t xml:space="preserve">certificados de participación</w:t>
      </w:r>
      <w:r>
        <w:t xml:space="preserve"> </w:t>
      </w:r>
      <w:r>
        <w:t xml:space="preserve">para quienes asistan a los microtalleres, usando como base la misma plantilla ya usada para los certificados de Cursos Libres. Se identificó como una demanda recurrente de los asistentes (</w:t>
      </w:r>
      <w:r>
        <w:t xml:space="preserve">“</w:t>
      </w:r>
      <w:r>
        <w:t xml:space="preserve">¿y qué gano yo por venir?</w:t>
      </w:r>
      <w:r>
        <w:t xml:space="preserve">”</w:t>
      </w:r>
      <w:r>
        <w:t xml:space="preserve">).</w:t>
      </w:r>
    </w:p>
    <w:p>
      <w:r>
        <w:pict>
          <v:rect style="width:0;height:1.5pt" o:hralign="center" o:hrstd="t" o:hr="t"/>
        </w:pict>
      </w:r>
    </w:p>
    <w:bookmarkEnd w:id="40"/>
    <w:bookmarkEnd w:id="41"/>
    <w:bookmarkStart w:id="42" w:name="Xb6a8d3982f68bf27e523af5b41503cf3d44632f"/>
    <w:p>
      <w:pPr>
        <w:pStyle w:val="Heading1"/>
      </w:pPr>
      <w:r>
        <w:t xml:space="preserve">9. Cursos Libres: protocolo de difusión y coordinación de piezas</w:t>
      </w:r>
      <w:r>
        <w:t xml:space="preserve"> </w:t>
      </w:r>
      <w:r>
        <w:rPr>
          <w:rStyle w:val="VerbatimChar"/>
        </w:rPr>
        <w:t xml:space="preserve">[00:49–00:51 y 01:09–01:12]</w:t>
      </w:r>
    </w:p>
    <w:p>
      <w:pPr>
        <w:numPr>
          <w:ilvl w:val="0"/>
          <w:numId w:val="1020"/>
        </w:numPr>
        <w:pStyle w:val="Compact"/>
      </w:pPr>
      <w:r>
        <w:rPr>
          <w:bCs/>
          <w:b/>
        </w:rPr>
        <w:t xml:space="preserve">Protocolo ante cancelación de un curso libre</w:t>
      </w:r>
      <w:r>
        <w:t xml:space="preserve">: cada vez que se cancela un curso libre, ET debe agendar con el monitor cuyo curso se canceló y producir, alternativamente, un microtaller o una</w:t>
      </w:r>
      <w:r>
        <w:t xml:space="preserve"> </w:t>
      </w:r>
      <w:r>
        <w:rPr>
          <w:bCs/>
          <w:b/>
        </w:rPr>
        <w:t xml:space="preserve">pieza de activación de contenido</w:t>
      </w:r>
      <w:r>
        <w:t xml:space="preserve"> </w:t>
      </w:r>
      <w:r>
        <w:t xml:space="preserve">(ej.: un video corto explicando para qué sirve el tema del curso cancelado), como forma de aprovechar el interés generado y visibilizar la oferta de la unidad.</w:t>
      </w:r>
    </w:p>
    <w:p>
      <w:pPr>
        <w:numPr>
          <w:ilvl w:val="0"/>
          <w:numId w:val="1020"/>
        </w:numPr>
        <w:pStyle w:val="Compact"/>
      </w:pPr>
      <w:r>
        <w:rPr>
          <w:bCs/>
          <w:b/>
        </w:rPr>
        <w:t xml:space="preserve">Videos de lanzamiento de cada curso</w:t>
      </w:r>
      <w:r>
        <w:t xml:space="preserve">: formato estándar en Drive (ej.</w:t>
      </w:r>
      <w:r>
        <w:t xml:space="preserve"> </w:t>
      </w:r>
      <w:r>
        <w:t xml:space="preserve">“</w:t>
      </w:r>
      <w:r>
        <w:t xml:space="preserve">Hola, soy [nombre]. Inscríbete al curso libre de [tema]. Vas a aprender [contenido].</w:t>
      </w:r>
      <w:r>
        <w:t xml:space="preserve">”</w:t>
      </w:r>
      <w:r>
        <w:t xml:space="preserve">), aunque se anima a experimentar con formatos distintos para no volverlos monótonos.</w:t>
      </w:r>
    </w:p>
    <w:p>
      <w:pPr>
        <w:numPr>
          <w:ilvl w:val="0"/>
          <w:numId w:val="1020"/>
        </w:numPr>
        <w:pStyle w:val="Compact"/>
      </w:pPr>
      <w:r>
        <w:t xml:space="preserve">Advertencia operativa fuerte sobre coordinación con Cursos Libres:</w:t>
      </w:r>
      <w:r>
        <w:t xml:space="preserve"> </w:t>
      </w:r>
      <w:r>
        <w:rPr>
          <w:bCs/>
          <w:b/>
        </w:rPr>
        <w:t xml:space="preserve">es el área con la que más fricción de tiempos se presenta</w:t>
      </w:r>
      <w:r>
        <w:t xml:space="preserve">, porque sus procesos de agendamiento de salones suelen demorarse y luego piden a ET piezas con plazos muy cortos (</w:t>
      </w:r>
      <w:r>
        <w:t xml:space="preserve">“</w:t>
      </w:r>
      <w:r>
        <w:t xml:space="preserve">como si fuera ChatGPT</w:t>
      </w:r>
      <w:r>
        <w:t xml:space="preserve">”</w:t>
      </w:r>
      <w:r>
        <w:t xml:space="preserve">), generando tensión cuando el lanzamiento se atrasa.</w:t>
      </w:r>
    </w:p>
    <w:p>
      <w:pPr>
        <w:numPr>
          <w:ilvl w:val="0"/>
          <w:numId w:val="1020"/>
        </w:numPr>
        <w:pStyle w:val="Compact"/>
      </w:pPr>
      <w:r>
        <w:t xml:space="preserve">Todas las piezas, antes de publicarse, deben pasar por el grupo de chat</w:t>
      </w:r>
      <w:r>
        <w:t xml:space="preserve"> </w:t>
      </w:r>
      <w:r>
        <w:rPr>
          <w:bCs/>
          <w:b/>
        </w:rPr>
        <w:t xml:space="preserve">“</w:t>
      </w:r>
      <w:r>
        <w:rPr>
          <w:bCs/>
          <w:b/>
        </w:rPr>
        <w:t xml:space="preserve">Piezas Redes Sociales</w:t>
      </w:r>
      <w:r>
        <w:rPr>
          <w:bCs/>
          <w:b/>
        </w:rPr>
        <w:t xml:space="preserve">”</w:t>
      </w:r>
      <w:r>
        <w:t xml:space="preserve"> </w:t>
      </w:r>
      <w:r>
        <w:t xml:space="preserve">(María Fernanda, diseñadores, todo el equipo de ET y los dos coordinadores) para obtener el visto bueno de los coordinadores. Riesgo identificado: a veces los coordinadores tardan en responder o piden cambios de última hora, lo que genera fricción con Cursos Libres cuando el lanzamiento se demora por esta causa.</w:t>
      </w:r>
    </w:p>
    <w:p>
      <w:r>
        <w:pict>
          <v:rect style="width:0;height:1.5pt" o:hralign="center" o:hrstd="t" o:hr="t"/>
        </w:pict>
      </w:r>
    </w:p>
    <w:bookmarkEnd w:id="42"/>
    <w:bookmarkStart w:id="43" w:name="Xa85aaeda1d54c2061306e740bc26b3aa8f1a346"/>
    <w:p>
      <w:pPr>
        <w:pStyle w:val="Heading1"/>
      </w:pPr>
      <w:r>
        <w:t xml:space="preserve">10. Estudiantes de corresponsabilidad</w:t>
      </w:r>
      <w:r>
        <w:t xml:space="preserve"> </w:t>
      </w:r>
      <w:r>
        <w:rPr>
          <w:rStyle w:val="VerbatimChar"/>
        </w:rPr>
        <w:t xml:space="preserve">[01:18–01:20]</w:t>
      </w:r>
    </w:p>
    <w:p>
      <w:pPr>
        <w:numPr>
          <w:ilvl w:val="0"/>
          <w:numId w:val="1021"/>
        </w:numPr>
        <w:pStyle w:val="Compact"/>
      </w:pPr>
      <w:r>
        <w:t xml:space="preserve">El trámite de solicitud de estudiantes de corresponsabilidad se gestiona normalmente a través de</w:t>
      </w:r>
      <w:r>
        <w:t xml:space="preserve"> </w:t>
      </w:r>
      <w:r>
        <w:rPr>
          <w:bCs/>
          <w:b/>
        </w:rPr>
        <w:t xml:space="preserve">Bienestar Universitario</w:t>
      </w:r>
      <w:r>
        <w:t xml:space="preserve">, y el enlace directo mencionado como quien lo tramita habitualmente es</w:t>
      </w:r>
      <w:r>
        <w:t xml:space="preserve"> </w:t>
      </w:r>
      <w:r>
        <w:rPr>
          <w:bCs/>
          <w:b/>
        </w:rPr>
        <w:t xml:space="preserve">“</w:t>
      </w:r>
      <w:r>
        <w:rPr>
          <w:bCs/>
          <w:b/>
        </w:rPr>
        <w:t xml:space="preserve">Santiago</w:t>
      </w:r>
      <w:r>
        <w:rPr>
          <w:bCs/>
          <w:b/>
        </w:rPr>
        <w:t xml:space="preserve">”</w:t>
      </w:r>
      <w:r>
        <w:t xml:space="preserve"> </w:t>
      </w:r>
      <w:r>
        <w:t xml:space="preserve">(Santi). Se solicita indicando cuántas personas y cuántas horas semanales se necesitan; no hay un límite fijo más allá de la disponibilidad de Bienestar para ese semestre.</w:t>
      </w:r>
    </w:p>
    <w:p>
      <w:pPr>
        <w:numPr>
          <w:ilvl w:val="0"/>
          <w:numId w:val="1021"/>
        </w:numPr>
        <w:pStyle w:val="Compact"/>
      </w:pPr>
      <w:r>
        <w:t xml:space="preserve">Una vez asignadas las personas, Bienestar envía un correo a la unidad y ET debe contactarlas directamente; si no responden, se informa a Bienestar para que reasigne a otra persona.</w:t>
      </w:r>
    </w:p>
    <w:p>
      <w:r>
        <w:pict>
          <v:rect style="width:0;height:1.5pt" o:hralign="center" o:hrstd="t" o:hr="t"/>
        </w:pict>
      </w:r>
    </w:p>
    <w:bookmarkEnd w:id="43"/>
    <w:bookmarkStart w:id="44" w:name="fotos-institucionales-01190121"/>
    <w:p>
      <w:pPr>
        <w:pStyle w:val="Heading1"/>
      </w:pPr>
      <w:r>
        <w:t xml:space="preserve">11. Fotos institucionales</w:t>
      </w:r>
      <w:r>
        <w:t xml:space="preserve"> </w:t>
      </w:r>
      <w:r>
        <w:rPr>
          <w:rStyle w:val="VerbatimChar"/>
        </w:rPr>
        <w:t xml:space="preserve">[01:19–01:21]</w:t>
      </w:r>
    </w:p>
    <w:p>
      <w:pPr>
        <w:numPr>
          <w:ilvl w:val="0"/>
          <w:numId w:val="1022"/>
        </w:numPr>
        <w:pStyle w:val="Compact"/>
      </w:pPr>
      <w:r>
        <w:t xml:space="preserve">Existe una carpeta de fotos históricas de monitores (2021 en adelante) con retrato individual (fondo blanco o con sombrilla/estudio) y foto grupal por área, usadas por ejemplo en el micrositio y en materiales como el video de ex-monitores.</w:t>
      </w:r>
    </w:p>
    <w:p>
      <w:pPr>
        <w:numPr>
          <w:ilvl w:val="0"/>
          <w:numId w:val="1022"/>
        </w:numPr>
        <w:pStyle w:val="Compact"/>
      </w:pPr>
      <w:r>
        <w:t xml:space="preserve">Recomendación: coordinar con Comunicaciones una sesión de fotos (usualmente en viernes) para actualizar tanto las fotos individuales como las grupales por área.</w:t>
      </w:r>
    </w:p>
    <w:p>
      <w:r>
        <w:pict>
          <v:rect style="width:0;height:1.5pt" o:hralign="center" o:hrstd="t" o:hr="t"/>
        </w:pict>
      </w:r>
    </w:p>
    <w:bookmarkEnd w:id="44"/>
    <w:bookmarkStart w:id="45" w:name="micrositio-y-página-web-01210123"/>
    <w:p>
      <w:pPr>
        <w:pStyle w:val="Heading1"/>
      </w:pPr>
      <w:r>
        <w:t xml:space="preserve">12. Micrositio y página web</w:t>
      </w:r>
      <w:r>
        <w:t xml:space="preserve"> </w:t>
      </w:r>
      <w:r>
        <w:rPr>
          <w:rStyle w:val="VerbatimChar"/>
        </w:rPr>
        <w:t xml:space="preserve">[01:21–01:23]</w:t>
      </w:r>
    </w:p>
    <w:p>
      <w:pPr>
        <w:numPr>
          <w:ilvl w:val="0"/>
          <w:numId w:val="1023"/>
        </w:numPr>
        <w:pStyle w:val="Compact"/>
      </w:pPr>
      <w:r>
        <w:t xml:space="preserve">El</w:t>
      </w:r>
      <w:r>
        <w:t xml:space="preserve"> </w:t>
      </w:r>
      <w:r>
        <w:rPr>
          <w:bCs/>
          <w:b/>
        </w:rPr>
        <w:t xml:space="preserve">micrositio actual</w:t>
      </w:r>
      <w:r>
        <w:t xml:space="preserve"> </w:t>
      </w:r>
      <w:r>
        <w:t xml:space="preserve">de la unidad usa un formato heredado de un proyecto de estudio de blog (2022), en el que se rediseñó la estructura; lo único que ET modifica activamente en la página son: el espacio de</w:t>
      </w:r>
      <w:r>
        <w:t xml:space="preserve"> </w:t>
      </w:r>
      <w:r>
        <w:t xml:space="preserve">“</w:t>
      </w:r>
      <w:r>
        <w:t xml:space="preserve">equipo de trabajo</w:t>
      </w:r>
      <w:r>
        <w:t xml:space="preserve">”</w:t>
      </w:r>
      <w:r>
        <w:t xml:space="preserve"> </w:t>
      </w:r>
      <w:r>
        <w:t xml:space="preserve">(fotos y biografías por área) y la línea gráfica de Cursos Libres.</w:t>
      </w:r>
    </w:p>
    <w:p>
      <w:pPr>
        <w:numPr>
          <w:ilvl w:val="0"/>
          <w:numId w:val="1023"/>
        </w:numPr>
        <w:pStyle w:val="Compact"/>
      </w:pPr>
      <w:r>
        <w:t xml:space="preserve">Todo lo demás (encabezado institucional, escudo, botones, franjas) está fijado por lineamientos institucionales de Unimedios y no se puede modificar libremente.</w:t>
      </w:r>
    </w:p>
    <w:p>
      <w:pPr>
        <w:numPr>
          <w:ilvl w:val="0"/>
          <w:numId w:val="1023"/>
        </w:numPr>
        <w:pStyle w:val="Compact"/>
      </w:pPr>
      <w:r>
        <w:rPr>
          <w:bCs/>
          <w:b/>
        </w:rPr>
        <w:t xml:space="preserve">Idea propuesta durante la reunión</w:t>
      </w:r>
      <w:r>
        <w:t xml:space="preserve"> </w:t>
      </w:r>
      <w:r>
        <w:t xml:space="preserve">(sin implementar aún, requiere gestión con Desarrollo): que al hacer clic en la fotografía de un integrante del equipo en el micrositio, se despliegue su perfil de LinkedIn, como forma de reforzar la visibilidad de LinkedIn y aumentar la apropiación de los monitores sobre su propia proyección profesional. Antecedente positivo: la máster saliente probó una versión personal de esta idea en su propia presentación y generó buena reacción entre pares y en Desarrollo (</w:t>
      </w:r>
      <w:r>
        <w:t xml:space="preserve">“</w:t>
      </w:r>
      <w:r>
        <w:t xml:space="preserve">les pareció una idea genial</w:t>
      </w:r>
      <w:r>
        <w:t xml:space="preserve">”</w:t>
      </w:r>
      <w:r>
        <w:t xml:space="preserve">). Requiere validarse con el líder del área de Desarrollo (mencionado como contacto:</w:t>
      </w:r>
      <w:r>
        <w:t xml:space="preserve"> </w:t>
      </w:r>
      <w:r>
        <w:t xml:space="preserve">“</w:t>
      </w:r>
      <w:r>
        <w:t xml:space="preserve">Johnny</w:t>
      </w:r>
      <w:r>
        <w:t xml:space="preserve">”</w:t>
      </w:r>
      <w:r>
        <w:t xml:space="preserve">).</w:t>
      </w:r>
    </w:p>
    <w:p>
      <w:pPr>
        <w:numPr>
          <w:ilvl w:val="0"/>
          <w:numId w:val="1023"/>
        </w:numPr>
        <w:pStyle w:val="Compact"/>
      </w:pPr>
      <w:r>
        <w:t xml:space="preserve">Punto pendiente sin resolver: subir a producción el</w:t>
      </w:r>
      <w:r>
        <w:t xml:space="preserve"> </w:t>
      </w:r>
      <w:r>
        <w:rPr>
          <w:bCs/>
          <w:b/>
        </w:rPr>
        <w:t xml:space="preserve">blog</w:t>
      </w:r>
      <w:r>
        <w:t xml:space="preserve"> </w:t>
      </w:r>
      <w:r>
        <w:t xml:space="preserve">ya diseñado (proyecto de estudio de blog, 2022), aparentemente completo pero nunca publicado; se identificó como tarea de Gestión del Conocimiento (GC) o de ET, sin resolver con certeza en la conversación a quién corresponde formalmente.</w:t>
      </w:r>
    </w:p>
    <w:p>
      <w:r>
        <w:pict>
          <v:rect style="width:0;height:1.5pt" o:hralign="center" o:hrstd="t" o:hr="t"/>
        </w:pict>
      </w:r>
    </w:p>
    <w:bookmarkEnd w:id="45"/>
    <w:bookmarkStart w:id="50" w:name="X528e1eeac960336c91cd87b1a85bfa43552c1a5"/>
    <w:p>
      <w:pPr>
        <w:pStyle w:val="Heading1"/>
      </w:pPr>
      <w:r>
        <w:t xml:space="preserve">13. Producción de contenido: piezas, redes y videos institucionales</w:t>
      </w:r>
      <w:r>
        <w:t xml:space="preserve"> </w:t>
      </w:r>
      <w:r>
        <w:rPr>
          <w:rStyle w:val="VerbatimChar"/>
        </w:rPr>
        <w:t xml:space="preserve">[00:39–01:20]</w:t>
      </w:r>
    </w:p>
    <w:bookmarkStart w:id="46" w:name="cronograma-editorial"/>
    <w:p>
      <w:pPr>
        <w:pStyle w:val="Heading2"/>
      </w:pPr>
      <w:r>
        <w:t xml:space="preserve">13.1 Cronograma editorial</w:t>
      </w:r>
    </w:p>
    <w:p>
      <w:pPr>
        <w:numPr>
          <w:ilvl w:val="0"/>
          <w:numId w:val="1024"/>
        </w:numPr>
        <w:pStyle w:val="Compact"/>
      </w:pPr>
      <w:r>
        <w:t xml:space="preserve">El cronograma que se intentó seguir en 2025-2 (una infografía inicial de intención más un cronograma real posterior al paro académico) no se cumplió estrictamente, pero la meta de referencia mencionada fue</w:t>
      </w:r>
      <w:r>
        <w:t xml:space="preserve"> </w:t>
      </w:r>
      <w:r>
        <w:rPr>
          <w:bCs/>
          <w:b/>
        </w:rPr>
        <w:t xml:space="preserve">un reel por semana y una pieza gráfica cada 15 días</w:t>
      </w:r>
      <w:r>
        <w:t xml:space="preserve">. Se recomienda a la entrante fijar una meta similar, realista frente a la carga del único monitor de artes.</w:t>
      </w:r>
    </w:p>
    <w:bookmarkEnd w:id="46"/>
    <w:bookmarkStart w:id="47" w:name="X2499c9c08ad592125db70fbf83dc1a597300a80"/>
    <w:p>
      <w:pPr>
        <w:pStyle w:val="Heading2"/>
      </w:pPr>
      <w:r>
        <w:t xml:space="preserve">13.2 Videos institucionales pendientes o en curso</w:t>
      </w:r>
    </w:p>
    <w:p>
      <w:pPr>
        <w:numPr>
          <w:ilvl w:val="0"/>
          <w:numId w:val="1025"/>
        </w:numPr>
        <w:pStyle w:val="Compact"/>
      </w:pPr>
      <w:r>
        <w:rPr>
          <w:bCs/>
          <w:b/>
        </w:rPr>
        <w:t xml:space="preserve">Video</w:t>
      </w:r>
      <w:r>
        <w:rPr>
          <w:bCs/>
          <w:b/>
        </w:rPr>
        <w:t xml:space="preserve"> </w:t>
      </w:r>
      <w:r>
        <w:rPr>
          <w:bCs/>
          <w:b/>
        </w:rPr>
        <w:t xml:space="preserve">“</w:t>
      </w:r>
      <w:r>
        <w:rPr>
          <w:bCs/>
          <w:b/>
        </w:rPr>
        <w:t xml:space="preserve">trailer</w:t>
      </w:r>
      <w:r>
        <w:rPr>
          <w:bCs/>
          <w:b/>
        </w:rPr>
        <w:t xml:space="preserve">”</w:t>
      </w:r>
      <w:r>
        <w:rPr>
          <w:bCs/>
          <w:b/>
        </w:rPr>
        <w:t xml:space="preserve"> </w:t>
      </w:r>
      <w:r>
        <w:rPr>
          <w:bCs/>
          <w:b/>
        </w:rPr>
        <w:t xml:space="preserve">de bienvenida</w:t>
      </w:r>
      <w:r>
        <w:t xml:space="preserve">: idea no ejecutada en 2025-2 por falta de disponibilidad de las personas para grabar; se recomienda intentarlo en 2026-2 con un formato tipo suspenso/expectativa para dar la bienvenida a nuevos integrantes.</w:t>
      </w:r>
    </w:p>
    <w:p>
      <w:pPr>
        <w:numPr>
          <w:ilvl w:val="0"/>
          <w:numId w:val="1025"/>
        </w:numPr>
        <w:pStyle w:val="Compact"/>
      </w:pPr>
      <w:r>
        <w:rPr>
          <w:bCs/>
          <w:b/>
        </w:rPr>
        <w:t xml:space="preserve">Video de ex-monitores</w:t>
      </w:r>
      <w:r>
        <w:t xml:space="preserve">: idea de mostrar a monitores ya graduados contando dónde están hoy laboralmente, como forma de destacar el valor del paso por la UIFCE como antecedente laboral. Solo alcanzaron a grabarse tres testimonios; quedó sin editar. Se recomienda retomarlo y ampliarlo, ya que se considera de alto potencial para atraer nuevos monitores.</w:t>
      </w:r>
    </w:p>
    <w:p>
      <w:pPr>
        <w:numPr>
          <w:ilvl w:val="0"/>
          <w:numId w:val="1025"/>
        </w:numPr>
        <w:pStyle w:val="Compact"/>
      </w:pPr>
      <w:r>
        <w:rPr>
          <w:bCs/>
          <w:b/>
        </w:rPr>
        <w:t xml:space="preserve">Videos de apoyo académico</w:t>
      </w:r>
      <w:r>
        <w:t xml:space="preserve">: dos videos ya grabados con guión, pendientes solo de edición por el nuevo monitor de artes.</w:t>
      </w:r>
    </w:p>
    <w:p>
      <w:pPr>
        <w:numPr>
          <w:ilvl w:val="0"/>
          <w:numId w:val="1025"/>
        </w:numPr>
        <w:pStyle w:val="Compact"/>
      </w:pPr>
      <w:r>
        <w:rPr>
          <w:bCs/>
          <w:b/>
        </w:rPr>
        <w:t xml:space="preserve">Bloopers</w:t>
      </w:r>
      <w:r>
        <w:t xml:space="preserve">: material adicional guardado de grabaciones anteriores, pensado para usarse en un evento de cierre de semestre.</w:t>
      </w:r>
    </w:p>
    <w:bookmarkEnd w:id="47"/>
    <w:bookmarkStart w:id="48" w:name="formatos-y-canales"/>
    <w:p>
      <w:pPr>
        <w:pStyle w:val="Heading2"/>
      </w:pPr>
      <w:r>
        <w:t xml:space="preserve">13.3 Formatos y canales</w:t>
      </w:r>
    </w:p>
    <w:p>
      <w:pPr>
        <w:numPr>
          <w:ilvl w:val="0"/>
          <w:numId w:val="1026"/>
        </w:numPr>
        <w:pStyle w:val="Compact"/>
      </w:pPr>
      <w:r>
        <w:rPr>
          <w:bCs/>
          <w:b/>
        </w:rPr>
        <w:t xml:space="preserve">Rieles (reels) e historias</w:t>
      </w:r>
      <w:r>
        <w:t xml:space="preserve">: la producción histórica está completa y organizada en la carpeta de Drive correspondiente; incluye historias del equipo (staff) por área, que requieren actualizarse cada semestre con las fotos y datos del nuevo equipo.</w:t>
      </w:r>
    </w:p>
    <w:p>
      <w:pPr>
        <w:numPr>
          <w:ilvl w:val="0"/>
          <w:numId w:val="1026"/>
        </w:numPr>
        <w:pStyle w:val="Compact"/>
      </w:pPr>
      <w:r>
        <w:rPr>
          <w:bCs/>
          <w:b/>
        </w:rPr>
        <w:t xml:space="preserve">Noticias/boletín tipo</w:t>
      </w:r>
      <w:r>
        <w:rPr>
          <w:bCs/>
          <w:b/>
        </w:rPr>
        <w:t xml:space="preserve"> </w:t>
      </w:r>
      <w:r>
        <w:rPr>
          <w:bCs/>
          <w:b/>
        </w:rPr>
        <w:t xml:space="preserve">“</w:t>
      </w:r>
      <w:r>
        <w:rPr>
          <w:bCs/>
          <w:b/>
        </w:rPr>
        <w:t xml:space="preserve">sueños</w:t>
      </w:r>
      <w:r>
        <w:rPr>
          <w:bCs/>
          <w:b/>
        </w:rPr>
        <w:t xml:space="preserve">”</w:t>
      </w:r>
      <w:r>
        <w:t xml:space="preserve"> </w:t>
      </w:r>
      <w:r>
        <w:t xml:space="preserve">(formato tipo carrusel informativo mencionado como</w:t>
      </w:r>
      <w:r>
        <w:t xml:space="preserve"> </w:t>
      </w:r>
      <w:r>
        <w:t xml:space="preserve">“</w:t>
      </w:r>
      <w:r>
        <w:t xml:space="preserve">Suix</w:t>
      </w:r>
      <w:r>
        <w:t xml:space="preserve">”</w:t>
      </w:r>
      <w:r>
        <w:t xml:space="preserve">/similar): tuvo bajo desempeño en interacción; se registra como aprendizaje que el formato de solo texto/lectura tiene bajo enganche frente al formato de video corto.</w:t>
      </w:r>
    </w:p>
    <w:p>
      <w:pPr>
        <w:numPr>
          <w:ilvl w:val="0"/>
          <w:numId w:val="1026"/>
        </w:numPr>
        <w:pStyle w:val="Compact"/>
      </w:pPr>
      <w:r>
        <w:rPr>
          <w:bCs/>
          <w:b/>
        </w:rPr>
        <w:t xml:space="preserve">YouTube</w:t>
      </w:r>
      <w:r>
        <w:t xml:space="preserve">: se identifica como canal con alto potencial no explotado, especialmente para transmisiones en vivo (lives) de microtalleres, aprovechando que la Sala 3 ya cuenta con cámaras y micrófonos.</w:t>
      </w:r>
    </w:p>
    <w:p>
      <w:pPr>
        <w:numPr>
          <w:ilvl w:val="0"/>
          <w:numId w:val="1026"/>
        </w:numPr>
        <w:pStyle w:val="Compact"/>
      </w:pPr>
      <w:r>
        <w:rPr>
          <w:bCs/>
          <w:b/>
        </w:rPr>
        <w:t xml:space="preserve">LinkedIn</w:t>
      </w:r>
      <w:r>
        <w:t xml:space="preserve">: además de la idea del micrositio (numeral 12), se reafirma como canal prioritario porque conecta directamente con la proyección profesional de los monitores.</w:t>
      </w:r>
    </w:p>
    <w:p>
      <w:pPr>
        <w:numPr>
          <w:ilvl w:val="0"/>
          <w:numId w:val="1026"/>
        </w:numPr>
        <w:pStyle w:val="Compact"/>
      </w:pPr>
      <w:r>
        <w:rPr>
          <w:bCs/>
          <w:b/>
        </w:rPr>
        <w:t xml:space="preserve">TikTok</w:t>
      </w:r>
      <w:r>
        <w:t xml:space="preserve">: se destaca la importancia de complementar la difusión digital con</w:t>
      </w:r>
      <w:r>
        <w:t xml:space="preserve"> </w:t>
      </w:r>
      <w:r>
        <w:rPr>
          <w:bCs/>
          <w:b/>
        </w:rPr>
        <w:t xml:space="preserve">difusión</w:t>
      </w:r>
      <w:r>
        <w:rPr>
          <w:bCs/>
          <w:b/>
        </w:rPr>
        <w:t xml:space="preserve"> </w:t>
      </w:r>
      <w:r>
        <w:rPr>
          <w:bCs/>
          <w:b/>
        </w:rPr>
        <w:t xml:space="preserve">“</w:t>
      </w:r>
      <w:r>
        <w:rPr>
          <w:bCs/>
          <w:b/>
        </w:rPr>
        <w:t xml:space="preserve">análoga</w:t>
      </w:r>
      <w:r>
        <w:rPr>
          <w:bCs/>
          <w:b/>
        </w:rPr>
        <w:t xml:space="preserve">”</w:t>
      </w:r>
      <w:r>
        <w:rPr>
          <w:bCs/>
          <w:b/>
        </w:rPr>
        <w:t xml:space="preserve">/presencial</w:t>
      </w:r>
      <w:r>
        <w:t xml:space="preserve"> </w:t>
      </w:r>
      <w:r>
        <w:t xml:space="preserve">(volantes o folletos físicos entregados directamente a estudiantes, siguiendo el ejemplo de negocios cercanos a la Facultad que reparten volantes con promociones), en vez de depender solo de que la audiencia encuentre el contenido por su cuenta en redes.</w:t>
      </w:r>
    </w:p>
    <w:bookmarkEnd w:id="48"/>
    <w:bookmarkStart w:id="49" w:name="consistencia-de-marca"/>
    <w:p>
      <w:pPr>
        <w:pStyle w:val="Heading2"/>
      </w:pPr>
      <w:r>
        <w:t xml:space="preserve">13.4 Consistencia de marca</w:t>
      </w:r>
    </w:p>
    <w:p>
      <w:pPr>
        <w:numPr>
          <w:ilvl w:val="0"/>
          <w:numId w:val="1027"/>
        </w:numPr>
        <w:pStyle w:val="Compact"/>
      </w:pPr>
      <w:r>
        <w:t xml:space="preserve">Se identificó como brecha menor pero recurrente la falta de un lineamiento explícito y difundido sobre cómo escribir el nombre de la unidad de forma consistente (ej. uso inconsistente de mayúsculas en</w:t>
      </w:r>
      <w:r>
        <w:t xml:space="preserve"> </w:t>
      </w:r>
      <w:r>
        <w:t xml:space="preserve">“</w:t>
      </w:r>
      <w:r>
        <w:t xml:space="preserve">UIFCE</w:t>
      </w:r>
      <w:r>
        <w:t xml:space="preserve">”</w:t>
      </w:r>
      <w:r>
        <w:t xml:space="preserve">/</w:t>
      </w:r>
      <w:r>
        <w:t xml:space="preserve">“</w:t>
      </w:r>
      <w:r>
        <w:t xml:space="preserve">Uifce</w:t>
      </w:r>
      <w:r>
        <w:t xml:space="preserve">”</w:t>
      </w:r>
      <w:r>
        <w:t xml:space="preserve">), además de colores y mascota. Se recomienda dejarlo explícito y difundido con el equipo desde el inicio del semestre.</w:t>
      </w:r>
    </w:p>
    <w:p>
      <w:r>
        <w:pict>
          <v:rect style="width:0;height:1.5pt" o:hralign="center" o:hrstd="t" o:hr="t"/>
        </w:pict>
      </w:r>
    </w:p>
    <w:bookmarkEnd w:id="49"/>
    <w:bookmarkEnd w:id="50"/>
    <w:bookmarkStart w:id="56" w:name="X1c35c89677202083e0c4a8330f51c6f09e2261c"/>
    <w:p>
      <w:pPr>
        <w:pStyle w:val="Heading1"/>
      </w:pPr>
      <w:r>
        <w:t xml:space="preserve">14. Recursos técnicos, continuidad y cierre</w:t>
      </w:r>
      <w:r>
        <w:t xml:space="preserve"> </w:t>
      </w:r>
      <w:r>
        <w:rPr>
          <w:rStyle w:val="VerbatimChar"/>
        </w:rPr>
        <w:t xml:space="preserve">[01:40–02:05]</w:t>
      </w:r>
    </w:p>
    <w:bookmarkStart w:id="51" w:name="repositorio-institucional-y-uso-de-ia"/>
    <w:p>
      <w:pPr>
        <w:pStyle w:val="Heading2"/>
      </w:pPr>
      <w:r>
        <w:t xml:space="preserve">14.1 Repositorio institucional y uso de IA</w:t>
      </w:r>
    </w:p>
    <w:p>
      <w:pPr>
        <w:numPr>
          <w:ilvl w:val="0"/>
          <w:numId w:val="1028"/>
        </w:numPr>
        <w:pStyle w:val="Compact"/>
      </w:pPr>
      <w:r>
        <w:t xml:space="preserve">Reflexión explícita de la máster saliente sobre el riesgo de que el conocimiento del área se pierda si cada máster entrante debe copiar carpetas completas del Drive de la máster anterior. Propuesta discutida: construir un</w:t>
      </w:r>
      <w:r>
        <w:t xml:space="preserve"> </w:t>
      </w:r>
      <w:r>
        <w:rPr>
          <w:bCs/>
          <w:b/>
        </w:rPr>
        <w:t xml:space="preserve">dominio o repositorio institucional único de ET</w:t>
      </w:r>
      <w:r>
        <w:t xml:space="preserve">, alimentado semestre a semestre, del cual cada nueva máster tome únicamente</w:t>
      </w:r>
      <w:r>
        <w:t xml:space="preserve"> </w:t>
      </w:r>
      <w:r>
        <w:rPr>
          <w:bCs/>
          <w:b/>
        </w:rPr>
        <w:t xml:space="preserve">accesos directos</w:t>
      </w:r>
      <w:r>
        <w:t xml:space="preserve"> </w:t>
      </w:r>
      <w:r>
        <w:t xml:space="preserve">(no copias completas de carpetas), evitando la duplicación y la pérdida de trazabilidad histórica.</w:t>
      </w:r>
    </w:p>
    <w:p>
      <w:pPr>
        <w:numPr>
          <w:ilvl w:val="0"/>
          <w:numId w:val="1028"/>
        </w:numPr>
        <w:pStyle w:val="Compact"/>
      </w:pPr>
      <w:r>
        <w:t xml:space="preserve">Se menciona como práctica personal ya usada por la saliente: generar, dentro de cada documento clave, un contexto explícito para que una IA (mencionan</w:t>
      </w:r>
      <w:r>
        <w:t xml:space="preserve"> </w:t>
      </w:r>
      <w:r>
        <w:rPr>
          <w:bCs/>
          <w:b/>
        </w:rPr>
        <w:t xml:space="preserve">Gemini</w:t>
      </w:r>
      <w:r>
        <w:t xml:space="preserve">, con acceso al contexto del Drive) pueda responder preguntas sobre en qué archivo específico se encuentra cierta información, sin tener que revisar carpeta por carpeta manualmente.</w:t>
      </w:r>
    </w:p>
    <w:p>
      <w:pPr>
        <w:numPr>
          <w:ilvl w:val="0"/>
          <w:numId w:val="1028"/>
        </w:numPr>
        <w:pStyle w:val="Compact"/>
      </w:pPr>
      <w:r>
        <w:t xml:space="preserve">Se identifica que esta propuesta de repositorio único requeriría apoyo técnico de</w:t>
      </w:r>
      <w:r>
        <w:t xml:space="preserve"> </w:t>
      </w:r>
      <w:r>
        <w:rPr>
          <w:bCs/>
          <w:b/>
        </w:rPr>
        <w:t xml:space="preserve">Gestión del Conocimiento (GC)</w:t>
      </w:r>
      <w:r>
        <w:t xml:space="preserve">.</w:t>
      </w:r>
    </w:p>
    <w:bookmarkEnd w:id="51"/>
    <w:bookmarkStart w:id="52" w:name="licencias-y-equipos-de-diseño"/>
    <w:p>
      <w:pPr>
        <w:pStyle w:val="Heading2"/>
      </w:pPr>
      <w:r>
        <w:t xml:space="preserve">14.2 Licencias y equipos de diseño</w:t>
      </w:r>
    </w:p>
    <w:p>
      <w:pPr>
        <w:numPr>
          <w:ilvl w:val="0"/>
          <w:numId w:val="1029"/>
        </w:numPr>
        <w:pStyle w:val="Compact"/>
      </w:pPr>
      <w:r>
        <w:t xml:space="preserve">El semestre anterior se gestionó, con esfuerzo, la instalación de programas de</w:t>
      </w:r>
      <w:r>
        <w:t xml:space="preserve"> </w:t>
      </w:r>
      <w:r>
        <w:rPr>
          <w:bCs/>
          <w:b/>
        </w:rPr>
        <w:t xml:space="preserve">Adobe</w:t>
      </w:r>
      <w:r>
        <w:t xml:space="preserve"> </w:t>
      </w:r>
      <w:r>
        <w:t xml:space="preserve">(los que más usan los diseñadores/monitores de artes) en uno de los computadores de la unidad (identificado como el equipo cerca del punto de información, perfil</w:t>
      </w:r>
      <w:r>
        <w:t xml:space="preserve"> </w:t>
      </w:r>
      <w:r>
        <w:t xml:space="preserve">“</w:t>
      </w:r>
      <w:r>
        <w:t xml:space="preserve">Luisito</w:t>
      </w:r>
      <w:r>
        <w:t xml:space="preserve">”</w:t>
      </w:r>
      <w:r>
        <w:t xml:space="preserve">), para que los monitores no dependieran de licencias personales/piratas en sus casas. Pendiente: verificar vigencia de la credencial de la licencia (puede caducar y requerir reingresarla).</w:t>
      </w:r>
    </w:p>
    <w:bookmarkEnd w:id="52"/>
    <w:bookmarkStart w:id="53" w:name="X6cfe1c76214e2ce105a4aa15afaa3664f58554d"/>
    <w:p>
      <w:pPr>
        <w:pStyle w:val="Heading2"/>
      </w:pPr>
      <w:r>
        <w:t xml:space="preserve">14.3 Flujo de aprobación de piezas y coordinación</w:t>
      </w:r>
    </w:p>
    <w:p>
      <w:pPr>
        <w:numPr>
          <w:ilvl w:val="0"/>
          <w:numId w:val="1030"/>
        </w:numPr>
        <w:pStyle w:val="Compact"/>
      </w:pPr>
      <w:r>
        <w:t xml:space="preserve">Todas las piezas de redes sociales pasan por el grupo de chat</w:t>
      </w:r>
      <w:r>
        <w:t xml:space="preserve"> </w:t>
      </w:r>
      <w:r>
        <w:t xml:space="preserve">“</w:t>
      </w:r>
      <w:r>
        <w:t xml:space="preserve">Piezas Redes Sociales</w:t>
      </w:r>
      <w:r>
        <w:t xml:space="preserve">”</w:t>
      </w:r>
      <w:r>
        <w:t xml:space="preserve"> </w:t>
      </w:r>
      <w:r>
        <w:t xml:space="preserve">(ver numeral 9) para visto bueno de los dos coordinadores antes de publicarse.</w:t>
      </w:r>
    </w:p>
    <w:bookmarkEnd w:id="53"/>
    <w:bookmarkStart w:id="54" w:name="X65dc1711b5afea94b93df954778cdb18ac647a5"/>
    <w:p>
      <w:pPr>
        <w:pStyle w:val="Heading2"/>
      </w:pPr>
      <w:r>
        <w:t xml:space="preserve">14.4 Reflexiones de cierre sobre carga de trabajo y continuidad</w:t>
      </w:r>
    </w:p>
    <w:p>
      <w:pPr>
        <w:numPr>
          <w:ilvl w:val="0"/>
          <w:numId w:val="1031"/>
        </w:numPr>
        <w:pStyle w:val="Compact"/>
      </w:pPr>
      <w:r>
        <w:t xml:space="preserve">La máster saliente describe la carga del área como equivalente a un trabajo de tiempo casi completo (se mencionan cifras informales del orden de 20 a 40 horas semanales en los momentos de mayor exigencia), y advierte explícitamente sobre el riesgo de sobrecargar a los monitores junior; recomienda vigilar activamente la carga del equipo y ajustar expectativas cuando sea necesario, en vez de acumular tareas sin distribuir.</w:t>
      </w:r>
    </w:p>
    <w:p>
      <w:pPr>
        <w:numPr>
          <w:ilvl w:val="0"/>
          <w:numId w:val="1031"/>
        </w:numPr>
        <w:pStyle w:val="Compact"/>
      </w:pPr>
      <w:r>
        <w:t xml:space="preserve">Insiste en el valor de la</w:t>
      </w:r>
      <w:r>
        <w:t xml:space="preserve"> </w:t>
      </w:r>
      <w:r>
        <w:rPr>
          <w:bCs/>
          <w:b/>
        </w:rPr>
        <w:t xml:space="preserve">planeación de inicio de semestre</w:t>
      </w:r>
      <w:r>
        <w:t xml:space="preserve"> </w:t>
      </w:r>
      <w:r>
        <w:t xml:space="preserve">como ejercicio colectivo (coordinadores + máster + profesor), y no como un documento que un máster elabora solo:</w:t>
      </w:r>
      <w:r>
        <w:t xml:space="preserve"> </w:t>
      </w:r>
      <w:r>
        <w:t xml:space="preserve">“</w:t>
      </w:r>
      <w:r>
        <w:t xml:space="preserve">la idea es que entre todos la armemos</w:t>
      </w:r>
      <w:r>
        <w:t xml:space="preserve">”</w:t>
      </w:r>
      <w:r>
        <w:t xml:space="preserve">; el rol del máster es aportar ideas concretas y aterrizadas a esa construcción conjunta, ya que la planeación final la aprueban los coordinadores y el profesor.</w:t>
      </w:r>
    </w:p>
    <w:p>
      <w:pPr>
        <w:numPr>
          <w:ilvl w:val="0"/>
          <w:numId w:val="1031"/>
        </w:numPr>
        <w:pStyle w:val="Compact"/>
      </w:pPr>
      <w:r>
        <w:t xml:space="preserve">Refuerza la importancia de una identidad de marca coherente y de mostrar visualmente el trabajo de la unidad ante la Facultad, como palanca para justificar presupuesto y crecimiento del área hacia el futuro.</w:t>
      </w:r>
    </w:p>
    <w:bookmarkEnd w:id="54"/>
    <w:bookmarkStart w:id="55" w:name="X9eb4d07b989efd369483fbacdc1d8d093c61359"/>
    <w:p>
      <w:pPr>
        <w:pStyle w:val="Heading2"/>
      </w:pPr>
      <w:r>
        <w:t xml:space="preserve">14.5 Cuenta de Instagram perdida — nota de cierre</w:t>
      </w:r>
    </w:p>
    <w:p>
      <w:pPr>
        <w:numPr>
          <w:ilvl w:val="0"/>
          <w:numId w:val="1032"/>
        </w:numPr>
        <w:pStyle w:val="Compact"/>
      </w:pPr>
      <w:r>
        <w:t xml:space="preserve">Al cierre de la reunión se retoma el tema de la cuenta de Instagram perdida como el asunto que más afectó a la máster saliente durante su gestión (</w:t>
      </w:r>
      <w:r>
        <w:t xml:space="preserve">“</w:t>
      </w:r>
      <w:r>
        <w:t xml:space="preserve">me dolió muchísimo… si le has hecho un 30% [dedicación] estará muy bien enfocada al Instagram</w:t>
      </w:r>
      <w:r>
        <w:t xml:space="preserve">”</w:t>
      </w:r>
      <w:r>
        <w:t xml:space="preserve">).</w:t>
      </w:r>
    </w:p>
    <w:p>
      <w:pPr>
        <w:numPr>
          <w:ilvl w:val="0"/>
          <w:numId w:val="1032"/>
        </w:numPr>
        <w:pStyle w:val="Compact"/>
      </w:pPr>
      <w:r>
        <w:t xml:space="preserve">Persiste</w:t>
      </w:r>
      <w:r>
        <w:t xml:space="preserve"> </w:t>
      </w:r>
      <w:r>
        <w:rPr>
          <w:bCs/>
          <w:b/>
        </w:rPr>
        <w:t xml:space="preserve">incertidumbre real sobre qué ocurrió con la cuenta</w:t>
      </w:r>
      <w:r>
        <w:t xml:space="preserve"> </w:t>
      </w:r>
      <w:r>
        <w:t xml:space="preserve">(no hay certeza de que siga existiendo bajo el mismo usuario ni de quién tiene el control) y sobre si la persona con la que se ha intentado contactar es en efecto la titular original o no. Recomendación explícita: seguir insistiendo por distintos canales, y si el contacto directo no avanza, considerar pedir al profesor a cargo del área que actúe como intermediario — aunque se advierte que el profesor tiende a preferir que el equipo resuelva este tipo de situaciones por sí mismo antes de involucrarse directamente.</w:t>
      </w:r>
    </w:p>
    <w:p>
      <w:r>
        <w:pict>
          <v:rect style="width:0;height:1.5pt" o:hralign="center" o:hrstd="t" o:hr="t"/>
        </w:pict>
      </w:r>
    </w:p>
    <w:bookmarkEnd w:id="55"/>
    <w:bookmarkEnd w:id="56"/>
    <w:bookmarkStart w:id="57" w:name="Xe26c894c595802fdecb96d85f495ae75cefa70a"/>
    <w:p>
      <w:pPr>
        <w:pStyle w:val="Heading1"/>
      </w:pPr>
      <w:r>
        <w:t xml:space="preserve">15. Compromisos y pendientes accionables identificados en la reunión</w:t>
      </w:r>
    </w:p>
    <w:p>
      <w:pPr>
        <w:pStyle w:val="FirstParagraph"/>
      </w:pPr>
      <w:r>
        <w:t xml:space="preserve">Esta lista resume, en formato de tarea, los pendientes concretos mencionados a lo largo de la reunión que no dependen de trámites ya en curso descritos arriba en detalle, y que se incorporaron a la hoja</w:t>
      </w:r>
      <w:r>
        <w:t xml:space="preserve"> </w:t>
      </w:r>
      <w:r>
        <w:t xml:space="preserve">“</w:t>
      </w:r>
      <w:r>
        <w:t xml:space="preserve">Planeación del Área</w:t>
      </w:r>
      <w:r>
        <w:t xml:space="preserve">”</w:t>
      </w:r>
      <w:r>
        <w:t xml:space="preserve"> </w:t>
      </w:r>
      <w:r>
        <w:t xml:space="preserve">de</w:t>
      </w:r>
      <w:r>
        <w:t xml:space="preserve"> </w:t>
      </w:r>
      <w:r>
        <w:rPr>
          <w:rStyle w:val="VerbatimChar"/>
        </w:rPr>
        <w:t xml:space="preserve">Estrategias Tecnológicas-Planeación 2026-2.xlsx</w:t>
      </w:r>
      <w:r>
        <w:t xml:space="preserve">:</w:t>
      </w:r>
    </w:p>
    <w:p>
      <w:pPr>
        <w:numPr>
          <w:ilvl w:val="0"/>
          <w:numId w:val="1033"/>
        </w:numPr>
        <w:pStyle w:val="Compact"/>
      </w:pPr>
      <w:r>
        <w:t xml:space="preserve">Retomar y formalizar con</w:t>
      </w:r>
      <w:r>
        <w:t xml:space="preserve"> </w:t>
      </w:r>
      <w:r>
        <w:rPr>
          <w:bCs/>
          <w:b/>
        </w:rPr>
        <w:t xml:space="preserve">Carlos Osorio Ramírez (CIID)</w:t>
      </w:r>
      <w:r>
        <w:t xml:space="preserve"> </w:t>
      </w:r>
      <w:r>
        <w:t xml:space="preserve">la donación de cupos en diplomados como premio de la Hackatón.</w:t>
      </w:r>
    </w:p>
    <w:p>
      <w:pPr>
        <w:numPr>
          <w:ilvl w:val="0"/>
          <w:numId w:val="1033"/>
        </w:numPr>
        <w:pStyle w:val="Compact"/>
      </w:pPr>
      <w:r>
        <w:t xml:space="preserve">Dar seguimiento formal a la</w:t>
      </w:r>
      <w:r>
        <w:t xml:space="preserve"> </w:t>
      </w:r>
      <w:r>
        <w:rPr>
          <w:bCs/>
          <w:b/>
        </w:rPr>
        <w:t xml:space="preserve">Vicedecanatura de Investigación y Extensión</w:t>
      </w:r>
      <w:r>
        <w:t xml:space="preserve"> </w:t>
      </w:r>
      <w:r>
        <w:t xml:space="preserve">(contacto: Sandra Carlos Vargas) sobre la aprobación de la propuesta de presupuesto ampliada (refrigerios, bonos, patrocinio de la Hackatón y el microtaller).</w:t>
      </w:r>
    </w:p>
    <w:p>
      <w:pPr>
        <w:numPr>
          <w:ilvl w:val="0"/>
          <w:numId w:val="1033"/>
        </w:numPr>
        <w:pStyle w:val="Compact"/>
      </w:pPr>
      <w:r>
        <w:t xml:space="preserve">Confirmar con</w:t>
      </w:r>
      <w:r>
        <w:t xml:space="preserve"> </w:t>
      </w:r>
      <w:r>
        <w:rPr>
          <w:bCs/>
          <w:b/>
        </w:rPr>
        <w:t xml:space="preserve">Juan Martínez</w:t>
      </w:r>
      <w:r>
        <w:t xml:space="preserve"> </w:t>
      </w:r>
      <w:r>
        <w:t xml:space="preserve">(ex-monitor de geología) si dicta en 2026-2 el microtaller de</w:t>
      </w:r>
      <w:r>
        <w:t xml:space="preserve"> </w:t>
      </w:r>
      <w:r>
        <w:t xml:space="preserve">“</w:t>
      </w:r>
      <w:r>
        <w:t xml:space="preserve">Análisis espacial aplicado a las ciencias económicas</w:t>
      </w:r>
      <w:r>
        <w:t xml:space="preserve">”</w:t>
      </w:r>
      <w:r>
        <w:t xml:space="preserve">.</w:t>
      </w:r>
    </w:p>
    <w:p>
      <w:pPr>
        <w:numPr>
          <w:ilvl w:val="0"/>
          <w:numId w:val="1033"/>
        </w:numPr>
        <w:pStyle w:val="Compact"/>
      </w:pPr>
      <w:r>
        <w:t xml:space="preserve">Confirmar horario del microtaller de Introducción a la Lógica de Programación con</w:t>
      </w:r>
      <w:r>
        <w:t xml:space="preserve"> </w:t>
      </w:r>
      <w:r>
        <w:rPr>
          <w:bCs/>
          <w:b/>
        </w:rPr>
        <w:t xml:space="preserve">Jonny</w:t>
      </w:r>
      <w:r>
        <w:t xml:space="preserve">.</w:t>
      </w:r>
    </w:p>
    <w:p>
      <w:pPr>
        <w:numPr>
          <w:ilvl w:val="0"/>
          <w:numId w:val="1033"/>
        </w:numPr>
        <w:pStyle w:val="Compact"/>
      </w:pPr>
      <w:r>
        <w:t xml:space="preserve">Insistir con el profesor</w:t>
      </w:r>
      <w:r>
        <w:t xml:space="preserve"> </w:t>
      </w:r>
      <w:r>
        <w:rPr>
          <w:bCs/>
          <w:b/>
        </w:rPr>
        <w:t xml:space="preserve">Montoya</w:t>
      </w:r>
      <w:r>
        <w:t xml:space="preserve"> </w:t>
      </w:r>
      <w:r>
        <w:t xml:space="preserve">(vía</w:t>
      </w:r>
      <w:r>
        <w:t xml:space="preserve"> </w:t>
      </w:r>
      <w:r>
        <w:rPr>
          <w:bCs/>
          <w:b/>
        </w:rPr>
        <w:t xml:space="preserve">Daniel</w:t>
      </w:r>
      <w:r>
        <w:t xml:space="preserve">) por el contacto de la conferencia con invitado externo, con fecha límite del 17 de septiembre.</w:t>
      </w:r>
    </w:p>
    <w:p>
      <w:pPr>
        <w:numPr>
          <w:ilvl w:val="0"/>
          <w:numId w:val="1033"/>
        </w:numPr>
        <w:pStyle w:val="Compact"/>
      </w:pPr>
      <w:r>
        <w:t xml:space="preserve">Implementar</w:t>
      </w:r>
      <w:r>
        <w:t xml:space="preserve"> </w:t>
      </w:r>
      <w:r>
        <w:rPr>
          <w:bCs/>
          <w:b/>
        </w:rPr>
        <w:t xml:space="preserve">certificados de participación</w:t>
      </w:r>
      <w:r>
        <w:t xml:space="preserve"> </w:t>
      </w:r>
      <w:r>
        <w:t xml:space="preserve">para microtalleres desde el inicio del semestre.</w:t>
      </w:r>
    </w:p>
    <w:p>
      <w:pPr>
        <w:numPr>
          <w:ilvl w:val="0"/>
          <w:numId w:val="1033"/>
        </w:numPr>
        <w:pStyle w:val="Compact"/>
      </w:pPr>
      <w:r>
        <w:t xml:space="preserve">Evaluar con</w:t>
      </w:r>
      <w:r>
        <w:t xml:space="preserve"> </w:t>
      </w:r>
      <w:r>
        <w:rPr>
          <w:bCs/>
          <w:b/>
        </w:rPr>
        <w:t xml:space="preserve">Desarrollo (Johnny)</w:t>
      </w:r>
      <w:r>
        <w:t xml:space="preserve"> </w:t>
      </w:r>
      <w:r>
        <w:t xml:space="preserve">la viabilidad técnica de vincular las fotos del equipo en el micrositio a los perfiles de LinkedIn de cada monitor.</w:t>
      </w:r>
    </w:p>
    <w:p>
      <w:pPr>
        <w:numPr>
          <w:ilvl w:val="0"/>
          <w:numId w:val="1033"/>
        </w:numPr>
        <w:pStyle w:val="Compact"/>
      </w:pPr>
      <w:r>
        <w:t xml:space="preserve">Retomar con el profesor</w:t>
      </w:r>
      <w:r>
        <w:t xml:space="preserve"> </w:t>
      </w:r>
      <w:r>
        <w:rPr>
          <w:bCs/>
          <w:b/>
        </w:rPr>
        <w:t xml:space="preserve">Henry</w:t>
      </w:r>
      <w:r>
        <w:t xml:space="preserve"> </w:t>
      </w:r>
      <w:r>
        <w:t xml:space="preserve">el trámite de Extensión Solidaria, esperando la transición de Vicedecanatura antes de formalizar el presupuesto.</w:t>
      </w:r>
    </w:p>
    <w:p>
      <w:pPr>
        <w:numPr>
          <w:ilvl w:val="0"/>
          <w:numId w:val="1033"/>
        </w:numPr>
        <w:pStyle w:val="Compact"/>
      </w:pPr>
      <w:r>
        <w:t xml:space="preserve">Coordinar con Comunicaciones una sesión de fotos institucionales (individuales y grupales por área).</w:t>
      </w:r>
    </w:p>
    <w:p>
      <w:pPr>
        <w:numPr>
          <w:ilvl w:val="0"/>
          <w:numId w:val="1033"/>
        </w:numPr>
        <w:pStyle w:val="Compact"/>
      </w:pPr>
      <w:r>
        <w:t xml:space="preserve">Verificar la vigencia de la licencia de Adobe instalada en el equipo</w:t>
      </w:r>
      <w:r>
        <w:t xml:space="preserve"> </w:t>
      </w:r>
      <w:r>
        <w:t xml:space="preserve">“</w:t>
      </w:r>
      <w:r>
        <w:t xml:space="preserve">Luisito</w:t>
      </w:r>
      <w:r>
        <w:t xml:space="preserve">”</w:t>
      </w:r>
      <w:r>
        <w:t xml:space="preserve"> </w:t>
      </w:r>
      <w:r>
        <w:t xml:space="preserve">de la unidad.</w:t>
      </w:r>
    </w:p>
    <w:p>
      <w:pPr>
        <w:numPr>
          <w:ilvl w:val="0"/>
          <w:numId w:val="1033"/>
        </w:numPr>
        <w:pStyle w:val="Compact"/>
      </w:pPr>
      <w:r>
        <w:t xml:space="preserve">Definir y difundir con el equipo un lineamiento explícito de escritura del nombre</w:t>
      </w:r>
      <w:r>
        <w:t xml:space="preserve"> </w:t>
      </w:r>
      <w:r>
        <w:t xml:space="preserve">“</w:t>
      </w:r>
      <w:r>
        <w:t xml:space="preserve">UIFCE</w:t>
      </w:r>
      <w:r>
        <w:t xml:space="preserve">”</w:t>
      </w:r>
      <w:r>
        <w:t xml:space="preserve"> </w:t>
      </w:r>
      <w:r>
        <w:t xml:space="preserve">y demás elementos básicos de marca.</w:t>
      </w:r>
    </w:p>
    <w:p>
      <w:pPr>
        <w:numPr>
          <w:ilvl w:val="0"/>
          <w:numId w:val="1033"/>
        </w:numPr>
        <w:pStyle w:val="Compact"/>
      </w:pPr>
      <w:r>
        <w:t xml:space="preserve">Retomar la publicación del</w:t>
      </w:r>
      <w:r>
        <w:t xml:space="preserve"> </w:t>
      </w:r>
      <w:r>
        <w:rPr>
          <w:bCs/>
          <w:b/>
        </w:rPr>
        <w:t xml:space="preserve">blog</w:t>
      </w:r>
      <w:r>
        <w:t xml:space="preserve"> </w:t>
      </w:r>
      <w:r>
        <w:t xml:space="preserve">ya diseñado (proyecto de estudio 2022), definiendo si corresponde a ET o a GC.</w:t>
      </w:r>
    </w:p>
    <w:p>
      <w:pPr>
        <w:numPr>
          <w:ilvl w:val="0"/>
          <w:numId w:val="1033"/>
        </w:numPr>
        <w:pStyle w:val="Compact"/>
      </w:pPr>
      <w:r>
        <w:t xml:space="preserve">Explorar con Gestión del Conocimiento (GC) la viabilidad de un repositorio institucional único de ET con accesos directos en lugar de copias completas de carpetas por semestre — insumo directo para el proyecto de repositorio con IA ya incluido en la planeación 2026-2.</w:t>
      </w:r>
    </w:p>
    <w:p>
      <w:pPr>
        <w:numPr>
          <w:ilvl w:val="0"/>
          <w:numId w:val="1033"/>
        </w:numPr>
        <w:pStyle w:val="Compact"/>
      </w:pPr>
      <w:r>
        <w:t xml:space="preserve">Seguir insistiendo en la recuperación de la cuenta de Instagram</w:t>
      </w:r>
      <w:r>
        <w:t xml:space="preserve"> </w:t>
      </w:r>
      <w:r>
        <w:t xml:space="preserve">@uifce_un</w:t>
      </w:r>
      <w:r>
        <w:t xml:space="preserve"> </w:t>
      </w:r>
      <w:r>
        <w:t xml:space="preserve">por distintos canales, y evaluar solicitar la intermediación del profesor a cargo si el contacto directo no avanza en las próximas semanas.</w:t>
      </w:r>
    </w:p>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Transcripción y Notas del Empalme — Área de Estrategias Tecnológicas (ET)</dc:title>
  <dc:creator>UIFCE — Unidad de Informática, Facultad de Ciencias Económicas, UNAL</dc:creator>
  <cp:keywords/>
  <dcterms:created xsi:type="dcterms:W3CDTF">2026-08-21T01:16:04Z</dcterms:created>
  <dcterms:modified xsi:type="dcterms:W3CDTF">2026-08-21T01:16:04Z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Reunión de empalme entre la máster saliente y la máster entrante de ET · Duración aproximada: 2 h 05 min</vt:lpwstr>
  </property>
</Properties>
</file>