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595959"/>
          <w:sz w:val="22"/>
          <w:szCs w:val="22"/>
        </w:rPr>
        <w:t xml:space="preserve">UNIVERSIDAD NACIONAL DE COLOMBIA</w:t>
      </w:r>
    </w:p>
    <w:p>
      <w:pPr>
        <w:spacing w:after="600"/>
        <w:jc w:val="center"/>
      </w:pPr>
      <w:r>
        <w:rPr>
          <w:color w:val="595959"/>
          <w:sz w:val="20"/>
          <w:szCs w:val="20"/>
        </w:rPr>
        <w:t xml:space="preserve">Facultad de Ciencias Económicas · Unidad de Informática (UIFCE)</w:t>
      </w:r>
    </w:p>
    <w:p>
      <w:pPr>
        <w:spacing w:after="200"/>
        <w:jc w:val="center"/>
      </w:pPr>
      <w:r>
        <w:rPr>
          <w:b/>
          <w:bCs/>
          <w:color w:val="7A1F2B"/>
          <w:sz w:val="44"/>
          <w:szCs w:val="44"/>
        </w:rPr>
        <w:t xml:space="preserve">Manual de Funciones y Estandarización</w:t>
      </w:r>
    </w:p>
    <w:p>
      <w:pPr>
        <w:spacing w:after="1200"/>
        <w:jc w:val="center"/>
      </w:pPr>
      <w:r>
        <w:rPr>
          <w:color w:val="1F1F1F"/>
          <w:sz w:val="26"/>
          <w:szCs w:val="26"/>
        </w:rPr>
        <w:t xml:space="preserve">Área de Estrategias Tecnológicas (ET)</w:t>
      </w:r>
    </w:p>
    <w:p>
      <w:pPr>
        <w:spacing w:after="80"/>
        <w:jc w:val="center"/>
      </w:pPr>
      <w:r>
        <w:rPr>
          <w:color w:val="595959"/>
          <w:sz w:val="20"/>
          <w:szCs w:val="20"/>
        </w:rPr>
        <w:t xml:space="preserve">Planeación 2026-2</w:t>
      </w:r>
    </w:p>
    <w:p>
      <w:pPr>
        <w:spacing w:after="80"/>
        <w:jc w:val="center"/>
      </w:pPr>
      <w:r>
        <w:rPr>
          <w:color w:val="595959"/>
          <w:sz w:val="20"/>
          <w:szCs w:val="20"/>
        </w:rPr>
        <w:t xml:space="preserve">Unidad de Informática de la Facultad de Ciencias Económicas (UIFCE)</w:t>
      </w:r>
    </w:p>
    <w:p>
      <w:pPr>
        <w:spacing w:after="80"/>
        <w:jc w:val="center"/>
      </w:pPr>
      <w:r>
        <w:rPr>
          <w:color w:val="595959"/>
          <w:sz w:val="20"/>
          <w:szCs w:val="20"/>
        </w:rPr>
        <w:t xml:space="preserve">Consultoría en Gobernanza de TI y Estrategia Digital Universitaria</w:t>
      </w:r>
    </w:p>
    <w:p>
      <w:pPr>
        <w:spacing w:after="80"/>
        <w:jc w:val="center"/>
      </w:pPr>
      <w:r>
        <w:rPr>
          <w:color w:val="595959"/>
          <w:sz w:val="20"/>
          <w:szCs w:val="20"/>
        </w:rPr>
        <w:t xml:space="preserve">20 de agosto de 2026 · Actualizado 21 de agosto de 2026</w:t>
      </w:r>
    </w:p>
    <w:p>
      <w:r>
        <w:br w:type="page"/>
      </w:r>
    </w:p>
    <w:p>
      <w:pPr>
        <w:pStyle w:val="Heading1"/>
        <w:pBdr>
          <w:bottom w:val="single" w:color="7A1F2B" w:sz="6" w:space="4"/>
        </w:pBdr>
        <w:spacing w:after="200" w:before="400"/>
      </w:pPr>
      <w:r>
        <w:rPr>
          <w:b/>
          <w:bCs/>
          <w:color w:val="7A1F2B"/>
          <w:sz w:val="30"/>
          <w:szCs w:val="30"/>
        </w:rPr>
        <w:t xml:space="preserve">1. Introducción y objeto del documento</w:t>
      </w:r>
    </w:p>
    <w:p>
      <w:pPr>
        <w:spacing w:after="160" w:line="276"/>
        <w:jc w:val="both"/>
      </w:pPr>
      <w:r>
        <w:rPr>
          <w:sz w:val="21"/>
          <w:szCs w:val="21"/>
        </w:rPr>
        <w:t xml:space="preserve">Este manual estandariza el rol del área de Estrategias Tecnológicas (ET) dentro de la Unidad de Informática de la Facultad de Ciencias Económicas (UIFCE) de la Universidad Nacional de Colombia. Su propósito es delimitar formalmente el alcance del área, fijar sus objetivos para el periodo 2026-2 y establecer una matriz de responsabilidades que evite solapamientos con las demás áreas de la Unidad: Apoyos Académicos (AA), Gestión del Conocimiento (GC), Desarrollo (DS), Virtualización, Cursos Libres (CL) y Coordinación.</w:t>
      </w:r>
    </w:p>
    <w:p>
      <w:pPr>
        <w:spacing w:after="160" w:line="276"/>
        <w:jc w:val="both"/>
      </w:pPr>
      <w:r>
        <w:rPr>
          <w:sz w:val="21"/>
          <w:szCs w:val="21"/>
        </w:rPr>
        <w:t xml:space="preserve">El documento se elaboró a partir de los informes de gestión de ET correspondientes a los periodos 2025-1, 2025-2 y 2026-1, la planeación operativa de los tres periodos, y la Guía de Empalme UIFCE (versión 2025), documento de referencia mantenido por el área de Gestión del Conocimiento que describe de manera oficial las funciones y responsabilidades cruzadas de todas las áreas de la Unidad.</w:t>
      </w:r>
    </w:p>
    <w:p>
      <w:pPr>
        <w:spacing w:after="160" w:line="276"/>
        <w:jc w:val="both"/>
      </w:pPr>
      <w:r>
        <w:rPr>
          <w:sz w:val="21"/>
          <w:szCs w:val="21"/>
        </w:rPr>
        <w:t xml:space="preserve">Este manual complementa —no reemplaza— el Manual de Microtalleres y Microeventos ya vigente, y sienta las bases para el cierre del documento de Términos y Condiciones de Estrategias Tecnológicas, identificado como pendiente en la planeación 2026-1.</w:t>
      </w:r>
    </w:p>
    <w:p>
      <w:pPr>
        <w:pStyle w:val="Heading1"/>
        <w:pBdr>
          <w:bottom w:val="single" w:color="7A1F2B" w:sz="6" w:space="4"/>
        </w:pBdr>
        <w:spacing w:after="200" w:before="400"/>
      </w:pPr>
      <w:r>
        <w:rPr>
          <w:b/>
          <w:bCs/>
          <w:color w:val="7A1F2B"/>
          <w:sz w:val="30"/>
          <w:szCs w:val="30"/>
        </w:rPr>
        <w:t xml:space="preserve">2. Alcance del Área</w:t>
      </w:r>
    </w:p>
    <w:p>
      <w:pPr>
        <w:pStyle w:val="Heading2"/>
        <w:spacing w:after="160" w:before="320"/>
      </w:pPr>
      <w:r>
        <w:rPr>
          <w:b/>
          <w:bCs/>
          <w:color w:val="7A1F2B"/>
          <w:sz w:val="25"/>
          <w:szCs w:val="25"/>
        </w:rPr>
        <w:t xml:space="preserve">2.1 Misión del área</w:t>
      </w:r>
    </w:p>
    <w:p>
      <w:pPr>
        <w:spacing w:after="160" w:line="276"/>
        <w:jc w:val="both"/>
      </w:pPr>
      <w:r>
        <w:rPr>
          <w:sz w:val="21"/>
          <w:szCs w:val="21"/>
        </w:rPr>
        <w:t xml:space="preserve">El área de Estrategias Tecnológicas tiene como misión dar a conocer la imagen y los servicios de la UIFCE dentro de la comunidad universitaria, mediante la generación y difusión de información sobre los servicios tecnológicos que ofrece la Unidad, la organización de eventos y actividades que complementan la formación académica de estudiantes, docentes y personal administrativo, y la construcción de alianzas que amplíen el alcance institucional de la UIFCE dentro y fuera de la Facultad de Ciencias Económicas.</w:t>
      </w:r>
    </w:p>
    <w:p>
      <w:pPr>
        <w:pStyle w:val="Heading2"/>
        <w:spacing w:after="160" w:before="320"/>
      </w:pPr>
      <w:r>
        <w:rPr>
          <w:b/>
          <w:bCs/>
          <w:color w:val="7A1F2B"/>
          <w:sz w:val="25"/>
          <w:szCs w:val="25"/>
        </w:rPr>
        <w:t xml:space="preserve">2.2 Objetivos clave 2026-2</w:t>
      </w:r>
    </w:p>
    <w:p>
      <w:pPr>
        <w:pStyle w:val="ListParagraph"/>
        <w:numPr>
          <w:ilvl w:val="0"/>
          <w:numId w:val="2"/>
        </w:numPr>
        <w:spacing w:after="100" w:line="276"/>
        <w:jc w:val="both"/>
      </w:pPr>
      <w:r>
        <w:rPr>
          <w:b/>
          <w:bCs/>
          <w:sz w:val="21"/>
          <w:szCs w:val="21"/>
        </w:rPr>
        <w:t xml:space="preserve">Consolidar la estandarización operativa del área. </w:t>
      </w:r>
      <w:r>
        <w:rPr>
          <w:sz w:val="21"/>
          <w:szCs w:val="21"/>
        </w:rPr>
        <w:t xml:space="preserve">Cerrar el documento de Términos y Condiciones de Estrategias Tecnológicas, dando continuidad al Manual de Microtalleres y Microeventos ya vigente.</w:t>
      </w:r>
    </w:p>
    <w:p>
      <w:pPr>
        <w:pStyle w:val="ListParagraph"/>
        <w:numPr>
          <w:ilvl w:val="0"/>
          <w:numId w:val="2"/>
        </w:numPr>
        <w:spacing w:after="100" w:line="276"/>
        <w:jc w:val="both"/>
      </w:pPr>
      <w:r>
        <w:rPr>
          <w:b/>
          <w:bCs/>
          <w:sz w:val="21"/>
          <w:szCs w:val="21"/>
        </w:rPr>
        <w:t xml:space="preserve">Ejecutar la primera edición de la Semana UIFCE. </w:t>
      </w:r>
      <w:r>
        <w:rPr>
          <w:sz w:val="21"/>
          <w:szCs w:val="21"/>
        </w:rPr>
        <w:t xml:space="preserve">Materializar el evento institucional formulado en 2026-1, articulado con la Semana de Investigación de la Facultad.</w:t>
      </w:r>
    </w:p>
    <w:p>
      <w:pPr>
        <w:pStyle w:val="ListParagraph"/>
        <w:numPr>
          <w:ilvl w:val="0"/>
          <w:numId w:val="2"/>
        </w:numPr>
        <w:spacing w:after="100" w:line="276"/>
        <w:jc w:val="both"/>
      </w:pPr>
      <w:r>
        <w:rPr>
          <w:b/>
          <w:bCs/>
          <w:sz w:val="21"/>
          <w:szCs w:val="21"/>
        </w:rPr>
        <w:t xml:space="preserve">Cerrar el ciclo de aprobación de Extensión Solidaria. </w:t>
      </w:r>
      <w:r>
        <w:rPr>
          <w:sz w:val="21"/>
          <w:szCs w:val="21"/>
        </w:rPr>
        <w:t xml:space="preserve">Obtener el aval de Vicedecanatura y avanzar hacia la ejecución de la capacitación dirigida a madres cabeza de familia.</w:t>
      </w:r>
    </w:p>
    <w:p>
      <w:pPr>
        <w:pStyle w:val="ListParagraph"/>
        <w:numPr>
          <w:ilvl w:val="0"/>
          <w:numId w:val="2"/>
        </w:numPr>
        <w:spacing w:after="100" w:line="276"/>
        <w:jc w:val="both"/>
      </w:pPr>
      <w:r>
        <w:rPr>
          <w:b/>
          <w:bCs/>
          <w:sz w:val="21"/>
          <w:szCs w:val="21"/>
        </w:rPr>
        <w:t xml:space="preserve">Consolidar la presencia institucional en redes emergentes. </w:t>
      </w:r>
      <w:r>
        <w:rPr>
          <w:sz w:val="21"/>
          <w:szCs w:val="21"/>
        </w:rPr>
        <w:t xml:space="preserve">Formalizar LinkedIn y completar el trámite de oficialización de YouTube, sosteniendo el crecimiento alcanzado en Instagram.</w:t>
      </w:r>
    </w:p>
    <w:p>
      <w:pPr>
        <w:pStyle w:val="ListParagraph"/>
        <w:numPr>
          <w:ilvl w:val="0"/>
          <w:numId w:val="2"/>
        </w:numPr>
        <w:spacing w:after="100" w:line="276"/>
        <w:jc w:val="both"/>
      </w:pPr>
      <w:r>
        <w:rPr>
          <w:b/>
          <w:bCs/>
          <w:sz w:val="21"/>
          <w:szCs w:val="21"/>
        </w:rPr>
        <w:t xml:space="preserve">Delimitar y formalizar el acompañamiento a otras áreas. </w:t>
      </w:r>
      <w:r>
        <w:rPr>
          <w:sz w:val="21"/>
          <w:szCs w:val="21"/>
        </w:rPr>
        <w:t xml:space="preserve">Fijar criterios de priorización y tiempos de respuesta razonables para las solicitudes de apoyo gráfico y comunicacional de AA, GC, DS, Virtualización y CL, dada la limitación actual de contar con un único monitor de artes.</w:t>
      </w:r>
    </w:p>
    <w:p>
      <w:pPr>
        <w:pStyle w:val="ListParagraph"/>
        <w:numPr>
          <w:ilvl w:val="0"/>
          <w:numId w:val="2"/>
        </w:numPr>
        <w:spacing w:after="100" w:line="276"/>
        <w:jc w:val="both"/>
      </w:pPr>
      <w:r>
        <w:rPr>
          <w:b/>
          <w:bCs/>
          <w:sz w:val="21"/>
          <w:szCs w:val="21"/>
        </w:rPr>
        <w:t xml:space="preserve">Adoptar calidad sobre cantidad como principio rector del semestre. </w:t>
      </w:r>
      <w:r>
        <w:rPr>
          <w:sz w:val="21"/>
          <w:szCs w:val="21"/>
        </w:rPr>
        <w:t xml:space="preserve">Reorientar la producción de contenido, la ejecución de eventos y la gestión de canales hacia el posicionamiento real de la UIFCE, apoyándose en inteligencia artificial para sostener ese estándar sin aumentar la carga operativa del equipo (ver numeral 2.5).</w:t>
      </w:r>
    </w:p>
    <w:p>
      <w:pPr>
        <w:pStyle w:val="Heading2"/>
        <w:spacing w:after="160" w:before="320"/>
      </w:pPr>
      <w:r>
        <w:rPr>
          <w:b/>
          <w:bCs/>
          <w:color w:val="7A1F2B"/>
          <w:sz w:val="25"/>
          <w:szCs w:val="25"/>
        </w:rPr>
        <w:t xml:space="preserve">2.3 Público objetivo</w:t>
      </w:r>
    </w:p>
    <w:p>
      <w:pPr>
        <w:spacing w:after="160" w:line="276"/>
        <w:jc w:val="both"/>
      </w:pPr>
      <w:r>
        <w:rPr>
          <w:sz w:val="21"/>
          <w:szCs w:val="21"/>
        </w:rPr>
        <w:t xml:space="preserve">El público objetivo principal son los estudiantes de pregrado de la Facultad de Ciencias Económicas, principales usuarios de los servicios, actividades y espacios de formación de la UIFCE. De manera complementaria, las estrategias del área también se dirigen a estudiantes de posgrado, docentes y personal administrativo de la Facultad y, cuando la naturaleza de la actividad lo permite, a miembros de otras facultades de la Universidad Nacional de Colombia.</w:t>
      </w:r>
    </w:p>
    <w:p>
      <w:pPr>
        <w:pStyle w:val="Heading2"/>
        <w:spacing w:after="160" w:before="320"/>
      </w:pPr>
      <w:r>
        <w:rPr>
          <w:b/>
          <w:bCs/>
          <w:color w:val="7A1F2B"/>
          <w:sz w:val="25"/>
          <w:szCs w:val="25"/>
        </w:rPr>
        <w:t xml:space="preserve">2.4 Servicios fundamentales</w:t>
      </w:r>
    </w:p>
    <w:p>
      <w:pPr>
        <w:spacing w:after="160" w:line="276"/>
        <w:jc w:val="both"/>
      </w:pPr>
      <w:r>
        <w:rPr>
          <w:sz w:val="21"/>
          <w:szCs w:val="21"/>
        </w:rPr>
        <w:t xml:space="preserve">ET presta cuatro servicios fundamentales, consolidados a partir de la experiencia acumulada en 2025-2 y 2026-1:</w:t>
      </w:r>
    </w:p>
    <w:p>
      <w:pPr>
        <w:pStyle w:val="ListParagraph"/>
        <w:numPr>
          <w:ilvl w:val="0"/>
          <w:numId w:val="2"/>
        </w:numPr>
        <w:spacing w:after="100" w:line="276"/>
        <w:jc w:val="both"/>
      </w:pPr>
      <w:r>
        <w:rPr>
          <w:b/>
          <w:bCs/>
          <w:sz w:val="21"/>
          <w:szCs w:val="21"/>
        </w:rPr>
        <w:t xml:space="preserve">Comunicación y difusión institucional. </w:t>
      </w:r>
      <w:r>
        <w:rPr>
          <w:sz w:val="21"/>
          <w:szCs w:val="21"/>
        </w:rPr>
        <w:t xml:space="preserve">Administración de redes sociales (Instagram, LinkedIn, YouTube), calendario editorial, gestión del micrositio y del correo institucional.</w:t>
      </w:r>
    </w:p>
    <w:p>
      <w:pPr>
        <w:pStyle w:val="ListParagraph"/>
        <w:numPr>
          <w:ilvl w:val="0"/>
          <w:numId w:val="2"/>
        </w:numPr>
        <w:spacing w:after="100" w:line="276"/>
        <w:jc w:val="both"/>
      </w:pPr>
      <w:r>
        <w:rPr>
          <w:b/>
          <w:bCs/>
          <w:sz w:val="21"/>
          <w:szCs w:val="21"/>
        </w:rPr>
        <w:t xml:space="preserve">Diseño y producción de contenido digital. </w:t>
      </w:r>
      <w:r>
        <w:rPr>
          <w:sz w:val="21"/>
          <w:szCs w:val="21"/>
        </w:rPr>
        <w:t xml:space="preserve">Piezas gráficas, material audiovisual, imagen institucional y apoyo gráfico a otras áreas y dependencias de la Facultad, apoyada progresivamente en herramientas de IA para clasificación de material y automatización de edición de video.</w:t>
      </w:r>
    </w:p>
    <w:p>
      <w:pPr>
        <w:pStyle w:val="ListParagraph"/>
        <w:numPr>
          <w:ilvl w:val="0"/>
          <w:numId w:val="2"/>
        </w:numPr>
        <w:spacing w:after="100" w:line="276"/>
        <w:jc w:val="both"/>
      </w:pPr>
      <w:r>
        <w:rPr>
          <w:b/>
          <w:bCs/>
          <w:sz w:val="21"/>
          <w:szCs w:val="21"/>
        </w:rPr>
        <w:t xml:space="preserve">Gestión de eventos. </w:t>
      </w:r>
      <w:r>
        <w:rPr>
          <w:sz w:val="21"/>
          <w:szCs w:val="21"/>
        </w:rPr>
        <w:t xml:space="preserve">Microtalleres, microeventos, Hackatón/competencias de simulación, Semana UIFCE y demás actividades de formación complementaria.</w:t>
      </w:r>
    </w:p>
    <w:p>
      <w:pPr>
        <w:pStyle w:val="ListParagraph"/>
        <w:numPr>
          <w:ilvl w:val="0"/>
          <w:numId w:val="2"/>
        </w:numPr>
        <w:spacing w:after="100" w:line="276"/>
        <w:jc w:val="both"/>
      </w:pPr>
      <w:r>
        <w:rPr>
          <w:b/>
          <w:bCs/>
          <w:sz w:val="21"/>
          <w:szCs w:val="21"/>
        </w:rPr>
        <w:t xml:space="preserve">Gestión y fortalecimiento del área. </w:t>
      </w:r>
      <w:r>
        <w:rPr>
          <w:sz w:val="21"/>
          <w:szCs w:val="21"/>
        </w:rPr>
        <w:t xml:space="preserve">Documentación, estandarización y mejora continua de los procesos propios de ET (manuales, términos y condiciones, reglamentaciones, repositorio documental permanente).</w:t>
      </w:r>
    </w:p>
    <w:p>
      <w:pPr>
        <w:pStyle w:val="Heading2"/>
        <w:spacing w:after="160" w:before="320"/>
      </w:pPr>
      <w:r>
        <w:rPr>
          <w:b/>
          <w:bCs/>
          <w:color w:val="7A1F2B"/>
          <w:sz w:val="25"/>
          <w:szCs w:val="25"/>
        </w:rPr>
        <w:t xml:space="preserve">2.5 Principio rector: calidad sobre cantidad</w:t>
      </w:r>
    </w:p>
    <w:p>
      <w:pPr>
        <w:spacing w:after="160" w:line="276"/>
        <w:jc w:val="both"/>
      </w:pPr>
      <w:r>
        <w:rPr>
          <w:sz w:val="21"/>
          <w:szCs w:val="21"/>
        </w:rPr>
        <w:t xml:space="preserve">Los informes de gestión de 2025-1, 2025-2 y 2026-1 muestran de forma consistente que el volumen de actividad del área —número de piezas, de microtalleres, de eventos formulados— no siempre se traduce en una proporción equivalente de impacto o posicionamiento institucional: microtalleres con alta inscripción y baja asistencia efectiva, una Hackatón formulada dos veces antes de lograr ejecutarse, y piezas producidas sin licencias institucionales adecuadas.</w:t>
      </w:r>
    </w:p>
    <w:p>
      <w:pPr>
        <w:spacing w:after="160" w:line="276"/>
        <w:jc w:val="both"/>
      </w:pPr>
      <w:r>
        <w:rPr>
          <w:sz w:val="21"/>
          <w:szCs w:val="21"/>
        </w:rPr>
        <w:t xml:space="preserve">Por esta razón, ET adopta para 2026-2 la calidad sobre la cantidad como principio rector transversal a todo su portafolio, no solo a los microtalleres: menos piezas mejor dirigidas, eventos con convocatoria asegurada antes de ejecutarse y canales consolidados —no multiplicados sin criterio— como vía real de posicionamiento de la Unidad frente a la comunidad universitaria.</w:t>
      </w:r>
    </w:p>
    <w:p>
      <w:pPr>
        <w:spacing w:after="160" w:line="276"/>
        <w:jc w:val="both"/>
      </w:pPr>
      <w:r>
        <w:rPr>
          <w:sz w:val="21"/>
          <w:szCs w:val="21"/>
        </w:rPr>
        <w:t xml:space="preserve">Como palanca para sostener este estándar sin incrementar la carga del único monitor de artes del área, ET trabajará activamente con inteligencia artificial en dos frentes: (1) un repositorio de material asistido por IA que facilite la búsqueda, clasificación y reutilización de piezas, hacks y videos ya producidos, evitando que el conocimiento se pierda entre semestres, y (2) la automatización de tareas repetitivas de edición y producción de video (subtitulado, recortes, adaptación de formato por plataforma), liberando tiempo del equipo para el trabajo creativo y estratégico. El detalle operativo de esta iniciativa se desarrolla como proyecto propio en el Portafolio de Proyectos 2026-2.</w:t>
      </w:r>
    </w:p>
    <w:p>
      <w:pPr>
        <w:pStyle w:val="Heading1"/>
        <w:pBdr>
          <w:bottom w:val="single" w:color="7A1F2B" w:sz="6" w:space="4"/>
        </w:pBdr>
        <w:spacing w:after="200" w:before="400"/>
      </w:pPr>
      <w:r>
        <w:rPr>
          <w:b/>
          <w:bCs/>
          <w:color w:val="7A1F2B"/>
          <w:sz w:val="30"/>
          <w:szCs w:val="30"/>
        </w:rPr>
        <w:t xml:space="preserve">3. Roles y Estructura Interna de ET</w:t>
      </w:r>
    </w:p>
    <w:p>
      <w:pPr>
        <w:spacing w:after="160" w:line="276"/>
        <w:jc w:val="both"/>
      </w:pPr>
      <w:r>
        <w:rPr>
          <w:sz w:val="21"/>
          <w:szCs w:val="21"/>
        </w:rPr>
        <w:t xml:space="preserve">De acuerdo con la Guía de Empalme UIFCE, el área opera con la siguiente estructura de roles:</w:t>
      </w:r>
    </w:p>
    <w:tbl>
      <w:tblPr>
        <w:tblW w:type="dxa" w:w="9540"/>
        <w:tblBorders>
          <w:top w:val="single" w:color="BFBFBF" w:sz="4"/>
          <w:left w:val="single" w:color="BFBFBF" w:sz="4"/>
          <w:bottom w:val="single" w:color="BFBFBF" w:sz="4"/>
          <w:right w:val="single" w:color="BFBFBF" w:sz="4"/>
          <w:insideH w:val="single" w:color="D9D9D9" w:sz="4"/>
          <w:insideV w:val="single" w:color="D9D9D9" w:sz="4"/>
        </w:tblBorders>
      </w:tblPr>
      <w:tblGrid>
        <w:gridCol w:w="2400"/>
        <w:gridCol w:w="1600"/>
        <w:gridCol w:w="5540"/>
      </w:tblGrid>
      <w:tr>
        <w:trPr>
          <w:tblHeader/>
        </w:trPr>
        <w:tc>
          <w:tcPr>
            <w:tcW w:type="dxa" w:w="2400"/>
            <w:shd w:fill="7A1F2B" w:color="auto" w:val="clear"/>
            <w:tcMar>
              <w:top w:type="dxa" w:w="80"/>
              <w:left w:type="dxa" w:w="100"/>
              <w:bottom w:type="dxa" w:w="80"/>
              <w:right w:type="dxa" w:w="100"/>
            </w:tcMar>
            <w:vAlign w:val="center"/>
          </w:tcPr>
          <w:p>
            <w:pPr>
              <w:jc w:val="center"/>
            </w:pPr>
            <w:r>
              <w:rPr>
                <w:b/>
                <w:bCs/>
                <w:color w:val="FFFFFF"/>
                <w:sz w:val="19"/>
                <w:szCs w:val="19"/>
              </w:rPr>
              <w:t xml:space="preserve">Rol</w:t>
            </w:r>
          </w:p>
        </w:tc>
        <w:tc>
          <w:tcPr>
            <w:tcW w:type="dxa" w:w="1600"/>
            <w:shd w:fill="7A1F2B" w:color="auto" w:val="clear"/>
            <w:tcMar>
              <w:top w:type="dxa" w:w="80"/>
              <w:left w:type="dxa" w:w="100"/>
              <w:bottom w:type="dxa" w:w="80"/>
              <w:right w:type="dxa" w:w="100"/>
            </w:tcMar>
            <w:vAlign w:val="center"/>
          </w:tcPr>
          <w:p>
            <w:pPr>
              <w:jc w:val="center"/>
            </w:pPr>
            <w:r>
              <w:rPr>
                <w:b/>
                <w:bCs/>
                <w:color w:val="FFFFFF"/>
                <w:sz w:val="19"/>
                <w:szCs w:val="19"/>
              </w:rPr>
              <w:t xml:space="preserve">Dedicación</w:t>
            </w:r>
          </w:p>
        </w:tc>
        <w:tc>
          <w:tcPr>
            <w:tcW w:type="dxa" w:w="5540"/>
            <w:shd w:fill="7A1F2B" w:color="auto" w:val="clear"/>
            <w:tcMar>
              <w:top w:type="dxa" w:w="80"/>
              <w:left w:type="dxa" w:w="100"/>
              <w:bottom w:type="dxa" w:w="80"/>
              <w:right w:type="dxa" w:w="100"/>
            </w:tcMar>
            <w:vAlign w:val="center"/>
          </w:tcPr>
          <w:p>
            <w:pPr>
              <w:jc w:val="center"/>
            </w:pPr>
            <w:r>
              <w:rPr>
                <w:b/>
                <w:bCs/>
                <w:color w:val="FFFFFF"/>
                <w:sz w:val="19"/>
                <w:szCs w:val="19"/>
              </w:rPr>
              <w:t xml:space="preserve">Responsabilidades clave</w:t>
            </w:r>
          </w:p>
        </w:tc>
      </w:tr>
      <w:tr>
        <w:tc>
          <w:tcPr>
            <w:tcW w:type="dxa" w:w="2400"/>
            <w:tcMar>
              <w:top w:type="dxa" w:w="80"/>
              <w:left w:type="dxa" w:w="100"/>
              <w:bottom w:type="dxa" w:w="80"/>
              <w:right w:type="dxa" w:w="100"/>
            </w:tcMar>
            <w:vAlign w:val="center"/>
          </w:tcPr>
          <w:p>
            <w:pPr>
              <w:jc w:val="left"/>
            </w:pPr>
            <w:r>
              <w:rPr>
                <w:b w:val="false"/>
                <w:bCs w:val="false"/>
                <w:color w:val="1F1F1F"/>
                <w:sz w:val="19"/>
                <w:szCs w:val="19"/>
              </w:rPr>
              <w:t xml:space="preserve">Monitor Máster ET</w:t>
            </w:r>
          </w:p>
        </w:tc>
        <w:tc>
          <w:tcPr>
            <w:tcW w:type="dxa" w:w="1600"/>
            <w:tcMar>
              <w:top w:type="dxa" w:w="80"/>
              <w:left w:type="dxa" w:w="100"/>
              <w:bottom w:type="dxa" w:w="80"/>
              <w:right w:type="dxa" w:w="100"/>
            </w:tcMar>
            <w:vAlign w:val="center"/>
          </w:tcPr>
          <w:p>
            <w:pPr>
              <w:jc w:val="left"/>
            </w:pPr>
            <w:r>
              <w:rPr>
                <w:b w:val="false"/>
                <w:bCs w:val="false"/>
                <w:color w:val="1F1F1F"/>
                <w:sz w:val="19"/>
                <w:szCs w:val="19"/>
              </w:rPr>
              <w:t xml:space="preserve">20 h/semana (10 h investigación + 10 h proyecto)</w:t>
            </w:r>
          </w:p>
        </w:tc>
        <w:tc>
          <w:tcPr>
            <w:tcW w:type="dxa" w:w="5540"/>
            <w:tcMar>
              <w:top w:type="dxa" w:w="80"/>
              <w:left w:type="dxa" w:w="100"/>
              <w:bottom w:type="dxa" w:w="80"/>
              <w:right w:type="dxa" w:w="100"/>
            </w:tcMar>
            <w:vAlign w:val="center"/>
          </w:tcPr>
          <w:p>
            <w:pPr>
              <w:jc w:val="left"/>
            </w:pPr>
            <w:r>
              <w:rPr>
                <w:b w:val="false"/>
                <w:bCs w:val="false"/>
                <w:color w:val="1F1F1F"/>
                <w:sz w:val="19"/>
                <w:szCs w:val="19"/>
              </w:rPr>
              <w:t xml:space="preserve">Lidera el área: calendario editorial, supervisión de imagen institucional, gestión de microtalleres, Hackatón, Extensión Solidaria, alianzas interfacultades, actualización de certificados, gestión de YouTube y reporte quincenal a Coordinación.</w:t>
            </w:r>
          </w:p>
        </w:tc>
      </w:tr>
      <w:tr>
        <w:tc>
          <w:tcPr>
            <w:tcW w:type="dxa" w:w="240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Monitor Junior de Artes ET</w:t>
            </w:r>
          </w:p>
        </w:tc>
        <w:tc>
          <w:tcPr>
            <w:tcW w:type="dxa" w:w="160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16 h/semana (8 h investigación + 4 h proyecto + 4 h sala)</w:t>
            </w:r>
          </w:p>
        </w:tc>
        <w:tc>
          <w:tcPr>
            <w:tcW w:type="dxa" w:w="554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Diseño de piezas gráficas, publicación en redes, reels, actualización de televisores, apoyo logístico en eventos, mantenimiento de LinkTree y plantillas.</w:t>
            </w:r>
          </w:p>
        </w:tc>
      </w:tr>
      <w:tr>
        <w:tc>
          <w:tcPr>
            <w:tcW w:type="dxa" w:w="2400"/>
            <w:tcMar>
              <w:top w:type="dxa" w:w="80"/>
              <w:left w:type="dxa" w:w="100"/>
              <w:bottom w:type="dxa" w:w="80"/>
              <w:right w:type="dxa" w:w="100"/>
            </w:tcMar>
            <w:vAlign w:val="center"/>
          </w:tcPr>
          <w:p>
            <w:pPr>
              <w:jc w:val="left"/>
            </w:pPr>
            <w:r>
              <w:rPr>
                <w:b w:val="false"/>
                <w:bCs w:val="false"/>
                <w:color w:val="1F1F1F"/>
                <w:sz w:val="19"/>
                <w:szCs w:val="19"/>
              </w:rPr>
              <w:t xml:space="preserve">Monitor Ad Honorem ET</w:t>
            </w:r>
          </w:p>
        </w:tc>
        <w:tc>
          <w:tcPr>
            <w:tcW w:type="dxa" w:w="1600"/>
            <w:tcMar>
              <w:top w:type="dxa" w:w="80"/>
              <w:left w:type="dxa" w:w="100"/>
              <w:bottom w:type="dxa" w:w="80"/>
              <w:right w:type="dxa" w:w="100"/>
            </w:tcMar>
            <w:vAlign w:val="center"/>
          </w:tcPr>
          <w:p>
            <w:pPr>
              <w:jc w:val="left"/>
            </w:pPr>
            <w:r>
              <w:rPr>
                <w:b w:val="false"/>
                <w:bCs w:val="false"/>
                <w:color w:val="1F1F1F"/>
                <w:sz w:val="19"/>
                <w:szCs w:val="19"/>
              </w:rPr>
              <w:t xml:space="preserve">Variable (colaboración voluntaria)</w:t>
            </w:r>
          </w:p>
        </w:tc>
        <w:tc>
          <w:tcPr>
            <w:tcW w:type="dxa" w:w="5540"/>
            <w:tcMar>
              <w:top w:type="dxa" w:w="80"/>
              <w:left w:type="dxa" w:w="100"/>
              <w:bottom w:type="dxa" w:w="80"/>
              <w:right w:type="dxa" w:w="100"/>
            </w:tcMar>
            <w:vAlign w:val="center"/>
          </w:tcPr>
          <w:p>
            <w:pPr>
              <w:jc w:val="left"/>
            </w:pPr>
            <w:r>
              <w:rPr>
                <w:b w:val="false"/>
                <w:bCs w:val="false"/>
                <w:color w:val="1F1F1F"/>
                <w:sz w:val="19"/>
                <w:szCs w:val="19"/>
              </w:rPr>
              <w:t xml:space="preserve">Apoyo puntual en publicación de disponibilidad de salas y otras tareas operativas delegables, según disponibilidad.</w:t>
            </w:r>
          </w:p>
        </w:tc>
      </w:tr>
    </w:tbl>
    <w:p>
      <w:pPr>
        <w:spacing w:after="160" w:line="276"/>
        <w:jc w:val="both"/>
      </w:pPr>
      <w:r>
        <w:rPr>
          <w:sz w:val="21"/>
          <w:szCs w:val="21"/>
        </w:rPr>
        <w:t xml:space="preserve"/>
      </w:r>
    </w:p>
    <w:p>
      <w:pPr>
        <w:pStyle w:val="Heading1"/>
        <w:pBdr>
          <w:bottom w:val="single" w:color="7A1F2B" w:sz="6" w:space="4"/>
        </w:pBdr>
        <w:spacing w:after="200" w:before="400"/>
      </w:pPr>
      <w:r>
        <w:rPr>
          <w:b/>
          <w:bCs/>
          <w:color w:val="7A1F2B"/>
          <w:sz w:val="30"/>
          <w:szCs w:val="30"/>
        </w:rPr>
        <w:t xml:space="preserve">4. Delimitación de Alcance frente a Otras Áreas</w:t>
      </w:r>
    </w:p>
    <w:p>
      <w:pPr>
        <w:spacing w:after="160" w:line="276"/>
        <w:jc w:val="both"/>
      </w:pPr>
      <w:r>
        <w:rPr>
          <w:sz w:val="21"/>
          <w:szCs w:val="21"/>
        </w:rPr>
        <w:t xml:space="preserve">Con el fin de evitar solapamientos, este manual adopta como referencia oficial la Tabla de Responsabilidades Cruzadas por Área de la Guía de Empalme UIFCE, precisando su aplicación a los procesos donde ET tiene participación directa o compartida.</w:t>
      </w:r>
    </w:p>
    <w:tbl>
      <w:tblPr>
        <w:tblW w:type="dxa" w:w="9540"/>
        <w:tblBorders>
          <w:top w:val="single" w:color="BFBFBF" w:sz="4"/>
          <w:left w:val="single" w:color="BFBFBF" w:sz="4"/>
          <w:bottom w:val="single" w:color="BFBFBF" w:sz="4"/>
          <w:right w:val="single" w:color="BFBFBF" w:sz="4"/>
          <w:insideH w:val="single" w:color="D9D9D9" w:sz="4"/>
          <w:insideV w:val="single" w:color="D9D9D9" w:sz="4"/>
        </w:tblBorders>
      </w:tblPr>
      <w:tblGrid>
        <w:gridCol w:w="2600"/>
        <w:gridCol w:w="2200"/>
        <w:gridCol w:w="2400"/>
        <w:gridCol w:w="2340"/>
      </w:tblGrid>
      <w:tr>
        <w:trPr>
          <w:tblHeader/>
        </w:trPr>
        <w:tc>
          <w:tcPr>
            <w:tcW w:type="dxa" w:w="2600"/>
            <w:shd w:fill="7A1F2B" w:color="auto" w:val="clear"/>
            <w:tcMar>
              <w:top w:type="dxa" w:w="80"/>
              <w:left w:type="dxa" w:w="100"/>
              <w:bottom w:type="dxa" w:w="80"/>
              <w:right w:type="dxa" w:w="100"/>
            </w:tcMar>
            <w:vAlign w:val="center"/>
          </w:tcPr>
          <w:p>
            <w:pPr>
              <w:jc w:val="center"/>
            </w:pPr>
            <w:r>
              <w:rPr>
                <w:b/>
                <w:bCs/>
                <w:color w:val="FFFFFF"/>
                <w:sz w:val="19"/>
                <w:szCs w:val="19"/>
              </w:rPr>
              <w:t xml:space="preserve">Proceso</w:t>
            </w:r>
          </w:p>
        </w:tc>
        <w:tc>
          <w:tcPr>
            <w:tcW w:type="dxa" w:w="2200"/>
            <w:shd w:fill="7A1F2B" w:color="auto" w:val="clear"/>
            <w:tcMar>
              <w:top w:type="dxa" w:w="80"/>
              <w:left w:type="dxa" w:w="100"/>
              <w:bottom w:type="dxa" w:w="80"/>
              <w:right w:type="dxa" w:w="100"/>
            </w:tcMar>
            <w:vAlign w:val="center"/>
          </w:tcPr>
          <w:p>
            <w:pPr>
              <w:jc w:val="center"/>
            </w:pPr>
            <w:r>
              <w:rPr>
                <w:b/>
                <w:bCs/>
                <w:color w:val="FFFFFF"/>
                <w:sz w:val="19"/>
                <w:szCs w:val="19"/>
              </w:rPr>
              <w:t xml:space="preserve">Lidera</w:t>
            </w:r>
          </w:p>
        </w:tc>
        <w:tc>
          <w:tcPr>
            <w:tcW w:type="dxa" w:w="2400"/>
            <w:shd w:fill="7A1F2B" w:color="auto" w:val="clear"/>
            <w:tcMar>
              <w:top w:type="dxa" w:w="80"/>
              <w:left w:type="dxa" w:w="100"/>
              <w:bottom w:type="dxa" w:w="80"/>
              <w:right w:type="dxa" w:w="100"/>
            </w:tcMar>
            <w:vAlign w:val="center"/>
          </w:tcPr>
          <w:p>
            <w:pPr>
              <w:jc w:val="center"/>
            </w:pPr>
            <w:r>
              <w:rPr>
                <w:b/>
                <w:bCs/>
                <w:color w:val="FFFFFF"/>
                <w:sz w:val="19"/>
                <w:szCs w:val="19"/>
              </w:rPr>
              <w:t xml:space="preserve">Rol de ET</w:t>
            </w:r>
          </w:p>
        </w:tc>
        <w:tc>
          <w:tcPr>
            <w:tcW w:type="dxa" w:w="2340"/>
            <w:shd w:fill="7A1F2B" w:color="auto" w:val="clear"/>
            <w:tcMar>
              <w:top w:type="dxa" w:w="80"/>
              <w:left w:type="dxa" w:w="100"/>
              <w:bottom w:type="dxa" w:w="80"/>
              <w:right w:type="dxa" w:w="100"/>
            </w:tcMar>
            <w:vAlign w:val="center"/>
          </w:tcPr>
          <w:p>
            <w:pPr>
              <w:jc w:val="center"/>
            </w:pPr>
            <w:r>
              <w:rPr>
                <w:b/>
                <w:bCs/>
                <w:color w:val="FFFFFF"/>
                <w:sz w:val="19"/>
                <w:szCs w:val="19"/>
              </w:rPr>
              <w:t xml:space="preserve">Colabora / aprueba</w:t>
            </w:r>
          </w:p>
        </w:tc>
      </w:tr>
      <w:tr>
        <w:tc>
          <w:tcPr>
            <w:tcW w:type="dxa" w:w="2600"/>
            <w:tcMar>
              <w:top w:type="dxa" w:w="80"/>
              <w:left w:type="dxa" w:w="100"/>
              <w:bottom w:type="dxa" w:w="80"/>
              <w:right w:type="dxa" w:w="100"/>
            </w:tcMar>
            <w:vAlign w:val="center"/>
          </w:tcPr>
          <w:p>
            <w:pPr>
              <w:jc w:val="left"/>
            </w:pPr>
            <w:r>
              <w:rPr>
                <w:b w:val="false"/>
                <w:bCs w:val="false"/>
                <w:color w:val="1F1F1F"/>
                <w:sz w:val="19"/>
                <w:szCs w:val="19"/>
              </w:rPr>
              <w:t xml:space="preserve">Redes sociales y difusión institucional</w:t>
            </w:r>
          </w:p>
        </w:tc>
        <w:tc>
          <w:tcPr>
            <w:tcW w:type="dxa" w:w="2200"/>
            <w:tcMar>
              <w:top w:type="dxa" w:w="80"/>
              <w:left w:type="dxa" w:w="100"/>
              <w:bottom w:type="dxa" w:w="80"/>
              <w:right w:type="dxa" w:w="100"/>
            </w:tcMar>
            <w:vAlign w:val="center"/>
          </w:tcPr>
          <w:p>
            <w:pPr>
              <w:jc w:val="left"/>
            </w:pPr>
            <w:r>
              <w:rPr>
                <w:b w:val="false"/>
                <w:bCs w:val="false"/>
                <w:color w:val="1F1F1F"/>
                <w:sz w:val="19"/>
                <w:szCs w:val="19"/>
              </w:rPr>
              <w:t xml:space="preserve">ET</w:t>
            </w:r>
          </w:p>
        </w:tc>
        <w:tc>
          <w:tcPr>
            <w:tcW w:type="dxa" w:w="2400"/>
            <w:tcMar>
              <w:top w:type="dxa" w:w="80"/>
              <w:left w:type="dxa" w:w="100"/>
              <w:bottom w:type="dxa" w:w="80"/>
              <w:right w:type="dxa" w:w="100"/>
            </w:tcMar>
            <w:vAlign w:val="center"/>
          </w:tcPr>
          <w:p>
            <w:pPr>
              <w:jc w:val="left"/>
            </w:pPr>
            <w:r>
              <w:rPr>
                <w:b w:val="false"/>
                <w:bCs w:val="false"/>
                <w:color w:val="1F1F1F"/>
                <w:sz w:val="19"/>
                <w:szCs w:val="19"/>
              </w:rPr>
              <w:t xml:space="preserve">Responsable integral: estrategia, calendario editorial, publicación</w:t>
            </w:r>
          </w:p>
        </w:tc>
        <w:tc>
          <w:tcPr>
            <w:tcW w:type="dxa" w:w="2340"/>
            <w:tcMar>
              <w:top w:type="dxa" w:w="80"/>
              <w:left w:type="dxa" w:w="100"/>
              <w:bottom w:type="dxa" w:w="80"/>
              <w:right w:type="dxa" w:w="100"/>
            </w:tcMar>
            <w:vAlign w:val="center"/>
          </w:tcPr>
          <w:p>
            <w:pPr>
              <w:jc w:val="left"/>
            </w:pPr>
            <w:r>
              <w:rPr>
                <w:b w:val="false"/>
                <w:bCs w:val="false"/>
                <w:color w:val="1F1F1F"/>
                <w:sz w:val="19"/>
                <w:szCs w:val="19"/>
              </w:rPr>
              <w:t xml:space="preserve">Coordinación aprueba piezas sensibles</w:t>
            </w:r>
          </w:p>
        </w:tc>
      </w:tr>
      <w:tr>
        <w:tc>
          <w:tcPr>
            <w:tcW w:type="dxa" w:w="260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Micrositio web — equipo de trabajo</w:t>
            </w:r>
          </w:p>
        </w:tc>
        <w:tc>
          <w:tcPr>
            <w:tcW w:type="dxa" w:w="220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ET (contenido) / DS (desarrollo)</w:t>
            </w:r>
          </w:p>
        </w:tc>
        <w:tc>
          <w:tcPr>
            <w:tcW w:type="dxa" w:w="240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Actualiza fotos, biografías y estructura de contenido</w:t>
            </w:r>
          </w:p>
        </w:tc>
        <w:tc>
          <w:tcPr>
            <w:tcW w:type="dxa" w:w="234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DS ejecuta cambios técnicos y despliegue</w:t>
            </w:r>
          </w:p>
        </w:tc>
      </w:tr>
      <w:tr>
        <w:tc>
          <w:tcPr>
            <w:tcW w:type="dxa" w:w="2600"/>
            <w:tcMar>
              <w:top w:type="dxa" w:w="80"/>
              <w:left w:type="dxa" w:w="100"/>
              <w:bottom w:type="dxa" w:w="80"/>
              <w:right w:type="dxa" w:w="100"/>
            </w:tcMar>
            <w:vAlign w:val="center"/>
          </w:tcPr>
          <w:p>
            <w:pPr>
              <w:jc w:val="left"/>
            </w:pPr>
            <w:r>
              <w:rPr>
                <w:b w:val="false"/>
                <w:bCs w:val="false"/>
                <w:color w:val="1F1F1F"/>
                <w:sz w:val="19"/>
                <w:szCs w:val="19"/>
              </w:rPr>
              <w:t xml:space="preserve">Blog UIFCE</w:t>
            </w:r>
          </w:p>
        </w:tc>
        <w:tc>
          <w:tcPr>
            <w:tcW w:type="dxa" w:w="2200"/>
            <w:tcMar>
              <w:top w:type="dxa" w:w="80"/>
              <w:left w:type="dxa" w:w="100"/>
              <w:bottom w:type="dxa" w:w="80"/>
              <w:right w:type="dxa" w:w="100"/>
            </w:tcMar>
            <w:vAlign w:val="center"/>
          </w:tcPr>
          <w:p>
            <w:pPr>
              <w:jc w:val="left"/>
            </w:pPr>
            <w:r>
              <w:rPr>
                <w:b w:val="false"/>
                <w:bCs w:val="false"/>
                <w:color w:val="1F1F1F"/>
                <w:sz w:val="19"/>
                <w:szCs w:val="19"/>
              </w:rPr>
              <w:t xml:space="preserve">GC (contenido) / ET (diseño y despliegue)</w:t>
            </w:r>
          </w:p>
        </w:tc>
        <w:tc>
          <w:tcPr>
            <w:tcW w:type="dxa" w:w="2400"/>
            <w:tcMar>
              <w:top w:type="dxa" w:w="80"/>
              <w:left w:type="dxa" w:w="100"/>
              <w:bottom w:type="dxa" w:w="80"/>
              <w:right w:type="dxa" w:w="100"/>
            </w:tcMar>
            <w:vAlign w:val="center"/>
          </w:tcPr>
          <w:p>
            <w:pPr>
              <w:jc w:val="left"/>
            </w:pPr>
            <w:r>
              <w:rPr>
                <w:b w:val="false"/>
                <w:bCs w:val="false"/>
                <w:color w:val="1F1F1F"/>
                <w:sz w:val="19"/>
                <w:szCs w:val="19"/>
              </w:rPr>
              <w:t xml:space="preserve">Diseña la plataforma y acompaña el despliegue en el micrositio</w:t>
            </w:r>
          </w:p>
        </w:tc>
        <w:tc>
          <w:tcPr>
            <w:tcW w:type="dxa" w:w="2340"/>
            <w:tcMar>
              <w:top w:type="dxa" w:w="80"/>
              <w:left w:type="dxa" w:w="100"/>
              <w:bottom w:type="dxa" w:w="80"/>
              <w:right w:type="dxa" w:w="100"/>
            </w:tcMar>
            <w:vAlign w:val="center"/>
          </w:tcPr>
          <w:p>
            <w:pPr>
              <w:jc w:val="left"/>
            </w:pPr>
            <w:r>
              <w:rPr>
                <w:b w:val="false"/>
                <w:bCs w:val="false"/>
                <w:color w:val="1F1F1F"/>
                <w:sz w:val="19"/>
                <w:szCs w:val="19"/>
              </w:rPr>
              <w:t xml:space="preserve">GC cura y redacta los resúmenes de proyectos de estudio</w:t>
            </w:r>
          </w:p>
        </w:tc>
      </w:tr>
      <w:tr>
        <w:tc>
          <w:tcPr>
            <w:tcW w:type="dxa" w:w="260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Piezas gráficas y difusión de Cursos Libres</w:t>
            </w:r>
          </w:p>
        </w:tc>
        <w:tc>
          <w:tcPr>
            <w:tcW w:type="dxa" w:w="220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CL (solicita) / ET (produce)</w:t>
            </w:r>
          </w:p>
        </w:tc>
        <w:tc>
          <w:tcPr>
            <w:tcW w:type="dxa" w:w="240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Elabora piezas gráficas y coordina fechas de publicación con CL</w:t>
            </w:r>
          </w:p>
        </w:tc>
        <w:tc>
          <w:tcPr>
            <w:tcW w:type="dxa" w:w="234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CL define contenido y calendario de lanzamientos</w:t>
            </w:r>
          </w:p>
        </w:tc>
      </w:tr>
      <w:tr>
        <w:tc>
          <w:tcPr>
            <w:tcW w:type="dxa" w:w="2600"/>
            <w:tcMar>
              <w:top w:type="dxa" w:w="80"/>
              <w:left w:type="dxa" w:w="100"/>
              <w:bottom w:type="dxa" w:w="80"/>
              <w:right w:type="dxa" w:w="100"/>
            </w:tcMar>
            <w:vAlign w:val="center"/>
          </w:tcPr>
          <w:p>
            <w:pPr>
              <w:jc w:val="left"/>
            </w:pPr>
            <w:r>
              <w:rPr>
                <w:b w:val="false"/>
                <w:bCs w:val="false"/>
                <w:color w:val="1F1F1F"/>
                <w:sz w:val="19"/>
                <w:szCs w:val="19"/>
              </w:rPr>
              <w:t xml:space="preserve">Cartelera física y digital de Cursos Libres</w:t>
            </w:r>
          </w:p>
        </w:tc>
        <w:tc>
          <w:tcPr>
            <w:tcW w:type="dxa" w:w="2200"/>
            <w:tcMar>
              <w:top w:type="dxa" w:w="80"/>
              <w:left w:type="dxa" w:w="100"/>
              <w:bottom w:type="dxa" w:w="80"/>
              <w:right w:type="dxa" w:w="100"/>
            </w:tcMar>
            <w:vAlign w:val="center"/>
          </w:tcPr>
          <w:p>
            <w:pPr>
              <w:jc w:val="left"/>
            </w:pPr>
            <w:r>
              <w:rPr>
                <w:b w:val="false"/>
                <w:bCs w:val="false"/>
                <w:color w:val="1F1F1F"/>
                <w:sz w:val="19"/>
                <w:szCs w:val="19"/>
              </w:rPr>
              <w:t xml:space="preserve">ET</w:t>
            </w:r>
          </w:p>
        </w:tc>
        <w:tc>
          <w:tcPr>
            <w:tcW w:type="dxa" w:w="2400"/>
            <w:tcMar>
              <w:top w:type="dxa" w:w="80"/>
              <w:left w:type="dxa" w:w="100"/>
              <w:bottom w:type="dxa" w:w="80"/>
              <w:right w:type="dxa" w:w="100"/>
            </w:tcMar>
            <w:vAlign w:val="center"/>
          </w:tcPr>
          <w:p>
            <w:pPr>
              <w:jc w:val="left"/>
            </w:pPr>
            <w:r>
              <w:rPr>
                <w:b w:val="false"/>
                <w:bCs w:val="false"/>
                <w:color w:val="1F1F1F"/>
                <w:sz w:val="19"/>
                <w:szCs w:val="19"/>
              </w:rPr>
              <w:t xml:space="preserve">Diseña e implementa; coordina rediseños con CL</w:t>
            </w:r>
          </w:p>
        </w:tc>
        <w:tc>
          <w:tcPr>
            <w:tcW w:type="dxa" w:w="2340"/>
            <w:tcMar>
              <w:top w:type="dxa" w:w="80"/>
              <w:left w:type="dxa" w:w="100"/>
              <w:bottom w:type="dxa" w:w="80"/>
              <w:right w:type="dxa" w:w="100"/>
            </w:tcMar>
            <w:vAlign w:val="center"/>
          </w:tcPr>
          <w:p>
            <w:pPr>
              <w:jc w:val="left"/>
            </w:pPr>
            <w:r>
              <w:rPr>
                <w:b w:val="false"/>
                <w:bCs w:val="false"/>
                <w:color w:val="1F1F1F"/>
                <w:sz w:val="19"/>
                <w:szCs w:val="19"/>
              </w:rPr>
              <w:t xml:space="preserve">CL aporta lineamientos de contenido vigente</w:t>
            </w:r>
          </w:p>
        </w:tc>
      </w:tr>
      <w:tr>
        <w:tc>
          <w:tcPr>
            <w:tcW w:type="dxa" w:w="260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Certificados institucionales</w:t>
            </w:r>
          </w:p>
        </w:tc>
        <w:tc>
          <w:tcPr>
            <w:tcW w:type="dxa" w:w="220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ET (diseño) / AA y CL (generación)</w:t>
            </w:r>
          </w:p>
        </w:tc>
        <w:tc>
          <w:tcPr>
            <w:tcW w:type="dxa" w:w="240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Diseña las plantillas conforme a Imagen Institucional</w:t>
            </w:r>
          </w:p>
        </w:tc>
        <w:tc>
          <w:tcPr>
            <w:tcW w:type="dxa" w:w="234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AA y CL generan los certificados vía script (AppScript) con sus propios datos</w:t>
            </w:r>
          </w:p>
        </w:tc>
      </w:tr>
      <w:tr>
        <w:tc>
          <w:tcPr>
            <w:tcW w:type="dxa" w:w="2600"/>
            <w:tcMar>
              <w:top w:type="dxa" w:w="80"/>
              <w:left w:type="dxa" w:w="100"/>
              <w:bottom w:type="dxa" w:w="80"/>
              <w:right w:type="dxa" w:w="100"/>
            </w:tcMar>
            <w:vAlign w:val="center"/>
          </w:tcPr>
          <w:p>
            <w:pPr>
              <w:jc w:val="left"/>
            </w:pPr>
            <w:r>
              <w:rPr>
                <w:b w:val="false"/>
                <w:bCs w:val="false"/>
                <w:color w:val="1F1F1F"/>
                <w:sz w:val="19"/>
                <w:szCs w:val="19"/>
              </w:rPr>
              <w:t xml:space="preserve">YouTube — gestión del canal</w:t>
            </w:r>
          </w:p>
        </w:tc>
        <w:tc>
          <w:tcPr>
            <w:tcW w:type="dxa" w:w="2200"/>
            <w:tcMar>
              <w:top w:type="dxa" w:w="80"/>
              <w:left w:type="dxa" w:w="100"/>
              <w:bottom w:type="dxa" w:w="80"/>
              <w:right w:type="dxa" w:w="100"/>
            </w:tcMar>
            <w:vAlign w:val="center"/>
          </w:tcPr>
          <w:p>
            <w:pPr>
              <w:jc w:val="left"/>
            </w:pPr>
            <w:r>
              <w:rPr>
                <w:b w:val="false"/>
                <w:bCs w:val="false"/>
                <w:color w:val="1F1F1F"/>
                <w:sz w:val="19"/>
                <w:szCs w:val="19"/>
              </w:rPr>
              <w:t xml:space="preserve">ET (canal) / Virtualización (contenido de cursos)</w:t>
            </w:r>
          </w:p>
        </w:tc>
        <w:tc>
          <w:tcPr>
            <w:tcW w:type="dxa" w:w="2400"/>
            <w:tcMar>
              <w:top w:type="dxa" w:w="80"/>
              <w:left w:type="dxa" w:w="100"/>
              <w:bottom w:type="dxa" w:w="80"/>
              <w:right w:type="dxa" w:w="100"/>
            </w:tcMar>
            <w:vAlign w:val="center"/>
          </w:tcPr>
          <w:p>
            <w:pPr>
              <w:jc w:val="left"/>
            </w:pPr>
            <w:r>
              <w:rPr>
                <w:b w:val="false"/>
                <w:bCs w:val="false"/>
                <w:color w:val="1F1F1F"/>
                <w:sz w:val="19"/>
                <w:szCs w:val="19"/>
              </w:rPr>
              <w:t xml:space="preserve">Administra la cuenta, sube y nombra los videos</w:t>
            </w:r>
          </w:p>
        </w:tc>
        <w:tc>
          <w:tcPr>
            <w:tcW w:type="dxa" w:w="2340"/>
            <w:tcMar>
              <w:top w:type="dxa" w:w="80"/>
              <w:left w:type="dxa" w:w="100"/>
              <w:bottom w:type="dxa" w:w="80"/>
              <w:right w:type="dxa" w:w="100"/>
            </w:tcMar>
            <w:vAlign w:val="center"/>
          </w:tcPr>
          <w:p>
            <w:pPr>
              <w:jc w:val="left"/>
            </w:pPr>
            <w:r>
              <w:rPr>
                <w:b w:val="false"/>
                <w:bCs w:val="false"/>
                <w:color w:val="1F1F1F"/>
                <w:sz w:val="19"/>
                <w:szCs w:val="19"/>
              </w:rPr>
              <w:t xml:space="preserve">Virtualización entrega los videos de cursos virtualizados para incrustar en Moodle</w:t>
            </w:r>
          </w:p>
        </w:tc>
      </w:tr>
      <w:tr>
        <w:tc>
          <w:tcPr>
            <w:tcW w:type="dxa" w:w="260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Imagen institucional y rebranding</w:t>
            </w:r>
          </w:p>
        </w:tc>
        <w:tc>
          <w:tcPr>
            <w:tcW w:type="dxa" w:w="220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ET</w:t>
            </w:r>
          </w:p>
        </w:tc>
        <w:tc>
          <w:tcPr>
            <w:tcW w:type="dxa" w:w="240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Interlocutor oficial con la Oficina de Imagen Institucional de la UNAL</w:t>
            </w:r>
          </w:p>
        </w:tc>
        <w:tc>
          <w:tcPr>
            <w:tcW w:type="dxa" w:w="234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Coordinación avala cambios de marca</w:t>
            </w:r>
          </w:p>
        </w:tc>
      </w:tr>
      <w:tr>
        <w:tc>
          <w:tcPr>
            <w:tcW w:type="dxa" w:w="2600"/>
            <w:tcMar>
              <w:top w:type="dxa" w:w="80"/>
              <w:left w:type="dxa" w:w="100"/>
              <w:bottom w:type="dxa" w:w="80"/>
              <w:right w:type="dxa" w:w="100"/>
            </w:tcMar>
            <w:vAlign w:val="center"/>
          </w:tcPr>
          <w:p>
            <w:pPr>
              <w:jc w:val="left"/>
            </w:pPr>
            <w:r>
              <w:rPr>
                <w:b w:val="false"/>
                <w:bCs w:val="false"/>
                <w:color w:val="1F1F1F"/>
                <w:sz w:val="19"/>
                <w:szCs w:val="19"/>
              </w:rPr>
              <w:t xml:space="preserve">Eventos institucionales (Hackatón, Semana UIFCE, 40 años, etc.)</w:t>
            </w:r>
          </w:p>
        </w:tc>
        <w:tc>
          <w:tcPr>
            <w:tcW w:type="dxa" w:w="2200"/>
            <w:tcMar>
              <w:top w:type="dxa" w:w="80"/>
              <w:left w:type="dxa" w:w="100"/>
              <w:bottom w:type="dxa" w:w="80"/>
              <w:right w:type="dxa" w:w="100"/>
            </w:tcMar>
            <w:vAlign w:val="center"/>
          </w:tcPr>
          <w:p>
            <w:pPr>
              <w:jc w:val="left"/>
            </w:pPr>
            <w:r>
              <w:rPr>
                <w:b w:val="false"/>
                <w:bCs w:val="false"/>
                <w:color w:val="1F1F1F"/>
                <w:sz w:val="19"/>
                <w:szCs w:val="19"/>
              </w:rPr>
              <w:t xml:space="preserve">ET</w:t>
            </w:r>
          </w:p>
        </w:tc>
        <w:tc>
          <w:tcPr>
            <w:tcW w:type="dxa" w:w="2400"/>
            <w:tcMar>
              <w:top w:type="dxa" w:w="80"/>
              <w:left w:type="dxa" w:w="100"/>
              <w:bottom w:type="dxa" w:w="80"/>
              <w:right w:type="dxa" w:w="100"/>
            </w:tcMar>
            <w:vAlign w:val="center"/>
          </w:tcPr>
          <w:p>
            <w:pPr>
              <w:jc w:val="left"/>
            </w:pPr>
            <w:r>
              <w:rPr>
                <w:b w:val="false"/>
                <w:bCs w:val="false"/>
                <w:color w:val="1F1F1F"/>
                <w:sz w:val="19"/>
                <w:szCs w:val="19"/>
              </w:rPr>
              <w:t xml:space="preserve">Formula, planea y ejecuta</w:t>
            </w:r>
          </w:p>
        </w:tc>
        <w:tc>
          <w:tcPr>
            <w:tcW w:type="dxa" w:w="2340"/>
            <w:tcMar>
              <w:top w:type="dxa" w:w="80"/>
              <w:left w:type="dxa" w:w="100"/>
              <w:bottom w:type="dxa" w:w="80"/>
              <w:right w:type="dxa" w:w="100"/>
            </w:tcMar>
            <w:vAlign w:val="center"/>
          </w:tcPr>
          <w:p>
            <w:pPr>
              <w:jc w:val="left"/>
            </w:pPr>
            <w:r>
              <w:rPr>
                <w:b w:val="false"/>
                <w:bCs w:val="false"/>
                <w:color w:val="1F1F1F"/>
                <w:sz w:val="19"/>
                <w:szCs w:val="19"/>
              </w:rPr>
              <w:t xml:space="preserve">Coordinación aprueba presupuesto y logística mayor; VIE en el caso de Semana UIFCE</w:t>
            </w:r>
          </w:p>
        </w:tc>
      </w:tr>
      <w:tr>
        <w:tc>
          <w:tcPr>
            <w:tcW w:type="dxa" w:w="260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Extensión Solidaria</w:t>
            </w:r>
          </w:p>
        </w:tc>
        <w:tc>
          <w:tcPr>
            <w:tcW w:type="dxa" w:w="220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ET</w:t>
            </w:r>
          </w:p>
        </w:tc>
        <w:tc>
          <w:tcPr>
            <w:tcW w:type="dxa" w:w="240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Formula la propuesta técnica y gestiona su aprobación</w:t>
            </w:r>
          </w:p>
        </w:tc>
        <w:tc>
          <w:tcPr>
            <w:tcW w:type="dxa" w:w="234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Vicedecanatura avala; Coordinación gestiona presupuesto ante el Consejo</w:t>
            </w:r>
          </w:p>
        </w:tc>
      </w:tr>
      <w:tr>
        <w:tc>
          <w:tcPr>
            <w:tcW w:type="dxa" w:w="2600"/>
            <w:tcMar>
              <w:top w:type="dxa" w:w="80"/>
              <w:left w:type="dxa" w:w="100"/>
              <w:bottom w:type="dxa" w:w="80"/>
              <w:right w:type="dxa" w:w="100"/>
            </w:tcMar>
            <w:vAlign w:val="center"/>
          </w:tcPr>
          <w:p>
            <w:pPr>
              <w:jc w:val="left"/>
            </w:pPr>
            <w:r>
              <w:rPr>
                <w:b w:val="false"/>
                <w:bCs w:val="false"/>
                <w:color w:val="1F1F1F"/>
                <w:sz w:val="19"/>
                <w:szCs w:val="19"/>
              </w:rPr>
              <w:t xml:space="preserve">Informe de gestión semestral</w:t>
            </w:r>
          </w:p>
        </w:tc>
        <w:tc>
          <w:tcPr>
            <w:tcW w:type="dxa" w:w="2200"/>
            <w:tcMar>
              <w:top w:type="dxa" w:w="80"/>
              <w:left w:type="dxa" w:w="100"/>
              <w:bottom w:type="dxa" w:w="80"/>
              <w:right w:type="dxa" w:w="100"/>
            </w:tcMar>
            <w:vAlign w:val="center"/>
          </w:tcPr>
          <w:p>
            <w:pPr>
              <w:jc w:val="left"/>
            </w:pPr>
            <w:r>
              <w:rPr>
                <w:b w:val="false"/>
                <w:bCs w:val="false"/>
                <w:color w:val="1F1F1F"/>
                <w:sz w:val="19"/>
                <w:szCs w:val="19"/>
              </w:rPr>
              <w:t xml:space="preserve">Coordinación (consolida)</w:t>
            </w:r>
          </w:p>
        </w:tc>
        <w:tc>
          <w:tcPr>
            <w:tcW w:type="dxa" w:w="2400"/>
            <w:tcMar>
              <w:top w:type="dxa" w:w="80"/>
              <w:left w:type="dxa" w:w="100"/>
              <w:bottom w:type="dxa" w:w="80"/>
              <w:right w:type="dxa" w:w="100"/>
            </w:tcMar>
            <w:vAlign w:val="center"/>
          </w:tcPr>
          <w:p>
            <w:pPr>
              <w:jc w:val="left"/>
            </w:pPr>
            <w:r>
              <w:rPr>
                <w:b w:val="false"/>
                <w:bCs w:val="false"/>
                <w:color w:val="1F1F1F"/>
                <w:sz w:val="19"/>
                <w:szCs w:val="19"/>
              </w:rPr>
              <w:t xml:space="preserve">Contribuye con el reporte de métricas y logros del área</w:t>
            </w:r>
          </w:p>
        </w:tc>
        <w:tc>
          <w:tcPr>
            <w:tcW w:type="dxa" w:w="2340"/>
            <w:tcMar>
              <w:top w:type="dxa" w:w="80"/>
              <w:left w:type="dxa" w:w="100"/>
              <w:bottom w:type="dxa" w:w="80"/>
              <w:right w:type="dxa" w:w="100"/>
            </w:tcMar>
            <w:vAlign w:val="center"/>
          </w:tcPr>
          <w:p>
            <w:pPr>
              <w:jc w:val="left"/>
            </w:pPr>
            <w:r>
              <w:rPr>
                <w:b w:val="false"/>
                <w:bCs w:val="false"/>
                <w:color w:val="1F1F1F"/>
                <w:sz w:val="19"/>
                <w:szCs w:val="19"/>
              </w:rPr>
              <w:t xml:space="preserve">Todas las áreas contribuyen; Coordinación presenta a Decanatura</w:t>
            </w:r>
          </w:p>
        </w:tc>
      </w:tr>
    </w:tbl>
    <w:p>
      <w:pPr>
        <w:spacing w:after="160" w:line="276"/>
        <w:jc w:val="both"/>
      </w:pPr>
      <w:r>
        <w:rPr>
          <w:sz w:val="21"/>
          <w:szCs w:val="21"/>
        </w:rPr>
        <w:t xml:space="preserve"/>
      </w:r>
    </w:p>
    <w:p>
      <w:pPr>
        <w:spacing w:after="160" w:line="276"/>
        <w:jc w:val="both"/>
      </w:pPr>
      <w:r>
        <w:rPr>
          <w:sz w:val="21"/>
          <w:szCs w:val="21"/>
        </w:rPr>
        <w:t xml:space="preserve">Un punto de solapamiento potencial que este manual resuelve explícitamente es el Blog UIFCE: la curaduría y redacción de contenido de proyectos de estudio corresponde a Gestión del Conocimiento, mientras que el diseño de la plataforma, su despliegue en el micrositio y la estrategia de difusión del blog corresponden a Estrategias Tecnológicas. Ambas áreas deben articular un cronograma conjunto antes de cada publicación.</w:t>
      </w:r>
    </w:p>
    <w:p>
      <w:pPr>
        <w:pStyle w:val="Heading1"/>
        <w:pBdr>
          <w:bottom w:val="single" w:color="7A1F2B" w:sz="6" w:space="4"/>
        </w:pBdr>
        <w:spacing w:after="200" w:before="400"/>
      </w:pPr>
      <w:r>
        <w:rPr>
          <w:b/>
          <w:bCs/>
          <w:color w:val="7A1F2B"/>
          <w:sz w:val="30"/>
          <w:szCs w:val="30"/>
        </w:rPr>
        <w:t xml:space="preserve">5. Matriz de Responsabilidades (RACI) — Procesos Propios de ET</w:t>
      </w:r>
    </w:p>
    <w:p>
      <w:pPr>
        <w:spacing w:after="160" w:line="276"/>
        <w:jc w:val="both"/>
      </w:pPr>
      <w:r>
        <w:rPr>
          <w:sz w:val="21"/>
          <w:szCs w:val="21"/>
        </w:rPr>
        <w:t xml:space="preserve">La siguiente matriz aplica el esquema Responsable / Aprueba / Consultado / Informado a los procesos que ET ejecuta de manera directa durante 2026-2.</w:t>
      </w:r>
    </w:p>
    <w:tbl>
      <w:tblPr>
        <w:tblW w:type="dxa" w:w="9540"/>
        <w:tblBorders>
          <w:top w:val="single" w:color="BFBFBF" w:sz="4"/>
          <w:left w:val="single" w:color="BFBFBF" w:sz="4"/>
          <w:bottom w:val="single" w:color="BFBFBF" w:sz="4"/>
          <w:right w:val="single" w:color="BFBFBF" w:sz="4"/>
          <w:insideH w:val="single" w:color="D9D9D9" w:sz="4"/>
          <w:insideV w:val="single" w:color="D9D9D9" w:sz="4"/>
        </w:tblBorders>
      </w:tblPr>
      <w:tblGrid>
        <w:gridCol w:w="3100"/>
        <w:gridCol w:w="1610"/>
        <w:gridCol w:w="1610"/>
        <w:gridCol w:w="1610"/>
        <w:gridCol w:w="1610"/>
      </w:tblGrid>
      <w:tr>
        <w:trPr>
          <w:tblHeader/>
        </w:trPr>
        <w:tc>
          <w:tcPr>
            <w:tcW w:type="dxa" w:w="3100"/>
            <w:shd w:fill="7A1F2B" w:color="auto" w:val="clear"/>
            <w:tcMar>
              <w:top w:type="dxa" w:w="80"/>
              <w:left w:type="dxa" w:w="100"/>
              <w:bottom w:type="dxa" w:w="80"/>
              <w:right w:type="dxa" w:w="100"/>
            </w:tcMar>
            <w:vAlign w:val="center"/>
          </w:tcPr>
          <w:p>
            <w:pPr>
              <w:jc w:val="center"/>
            </w:pPr>
            <w:r>
              <w:rPr>
                <w:b/>
                <w:bCs/>
                <w:color w:val="FFFFFF"/>
                <w:sz w:val="19"/>
                <w:szCs w:val="19"/>
              </w:rPr>
              <w:t xml:space="preserve">Proceso / actividad</w:t>
            </w:r>
          </w:p>
        </w:tc>
        <w:tc>
          <w:tcPr>
            <w:tcW w:type="dxa" w:w="1610"/>
            <w:shd w:fill="7A1F2B" w:color="auto" w:val="clear"/>
            <w:tcMar>
              <w:top w:type="dxa" w:w="80"/>
              <w:left w:type="dxa" w:w="100"/>
              <w:bottom w:type="dxa" w:w="80"/>
              <w:right w:type="dxa" w:w="100"/>
            </w:tcMar>
            <w:vAlign w:val="center"/>
          </w:tcPr>
          <w:p>
            <w:pPr>
              <w:jc w:val="center"/>
            </w:pPr>
            <w:r>
              <w:rPr>
                <w:b/>
                <w:bCs/>
                <w:color w:val="FFFFFF"/>
                <w:sz w:val="19"/>
                <w:szCs w:val="19"/>
              </w:rPr>
              <w:t xml:space="preserve">Responsable (R)</w:t>
            </w:r>
          </w:p>
        </w:tc>
        <w:tc>
          <w:tcPr>
            <w:tcW w:type="dxa" w:w="1610"/>
            <w:shd w:fill="7A1F2B" w:color="auto" w:val="clear"/>
            <w:tcMar>
              <w:top w:type="dxa" w:w="80"/>
              <w:left w:type="dxa" w:w="100"/>
              <w:bottom w:type="dxa" w:w="80"/>
              <w:right w:type="dxa" w:w="100"/>
            </w:tcMar>
            <w:vAlign w:val="center"/>
          </w:tcPr>
          <w:p>
            <w:pPr>
              <w:jc w:val="center"/>
            </w:pPr>
            <w:r>
              <w:rPr>
                <w:b/>
                <w:bCs/>
                <w:color w:val="FFFFFF"/>
                <w:sz w:val="19"/>
                <w:szCs w:val="19"/>
              </w:rPr>
              <w:t xml:space="preserve">Aprueba (A)</w:t>
            </w:r>
          </w:p>
        </w:tc>
        <w:tc>
          <w:tcPr>
            <w:tcW w:type="dxa" w:w="1610"/>
            <w:shd w:fill="7A1F2B" w:color="auto" w:val="clear"/>
            <w:tcMar>
              <w:top w:type="dxa" w:w="80"/>
              <w:left w:type="dxa" w:w="100"/>
              <w:bottom w:type="dxa" w:w="80"/>
              <w:right w:type="dxa" w:w="100"/>
            </w:tcMar>
            <w:vAlign w:val="center"/>
          </w:tcPr>
          <w:p>
            <w:pPr>
              <w:jc w:val="center"/>
            </w:pPr>
            <w:r>
              <w:rPr>
                <w:b/>
                <w:bCs/>
                <w:color w:val="FFFFFF"/>
                <w:sz w:val="19"/>
                <w:szCs w:val="19"/>
              </w:rPr>
              <w:t xml:space="preserve">Consultado (C)</w:t>
            </w:r>
          </w:p>
        </w:tc>
        <w:tc>
          <w:tcPr>
            <w:tcW w:type="dxa" w:w="1610"/>
            <w:shd w:fill="7A1F2B" w:color="auto" w:val="clear"/>
            <w:tcMar>
              <w:top w:type="dxa" w:w="80"/>
              <w:left w:type="dxa" w:w="100"/>
              <w:bottom w:type="dxa" w:w="80"/>
              <w:right w:type="dxa" w:w="100"/>
            </w:tcMar>
            <w:vAlign w:val="center"/>
          </w:tcPr>
          <w:p>
            <w:pPr>
              <w:jc w:val="center"/>
            </w:pPr>
            <w:r>
              <w:rPr>
                <w:b/>
                <w:bCs/>
                <w:color w:val="FFFFFF"/>
                <w:sz w:val="19"/>
                <w:szCs w:val="19"/>
              </w:rPr>
              <w:t xml:space="preserve">Informado (I)</w:t>
            </w:r>
          </w:p>
        </w:tc>
      </w:tr>
      <w:tr>
        <w:tc>
          <w:tcPr>
            <w:tcW w:type="dxa" w:w="3100"/>
            <w:tcMar>
              <w:top w:type="dxa" w:w="80"/>
              <w:left w:type="dxa" w:w="100"/>
              <w:bottom w:type="dxa" w:w="80"/>
              <w:right w:type="dxa" w:w="100"/>
            </w:tcMar>
            <w:vAlign w:val="center"/>
          </w:tcPr>
          <w:p>
            <w:pPr>
              <w:jc w:val="left"/>
            </w:pPr>
            <w:r>
              <w:rPr>
                <w:b w:val="false"/>
                <w:bCs w:val="false"/>
                <w:color w:val="1F1F1F"/>
                <w:sz w:val="19"/>
                <w:szCs w:val="19"/>
              </w:rPr>
              <w:t xml:space="preserve">Calendario editorial y estrategia de difusión</w:t>
            </w:r>
          </w:p>
        </w:tc>
        <w:tc>
          <w:tcPr>
            <w:tcW w:type="dxa" w:w="1610"/>
            <w:tcMar>
              <w:top w:type="dxa" w:w="80"/>
              <w:left w:type="dxa" w:w="100"/>
              <w:bottom w:type="dxa" w:w="80"/>
              <w:right w:type="dxa" w:w="100"/>
            </w:tcMar>
            <w:vAlign w:val="center"/>
          </w:tcPr>
          <w:p>
            <w:pPr>
              <w:jc w:val="left"/>
            </w:pPr>
            <w:r>
              <w:rPr>
                <w:b w:val="false"/>
                <w:bCs w:val="false"/>
                <w:color w:val="1F1F1F"/>
                <w:sz w:val="19"/>
                <w:szCs w:val="19"/>
              </w:rPr>
              <w:t xml:space="preserve">Máster ET</w:t>
            </w:r>
          </w:p>
        </w:tc>
        <w:tc>
          <w:tcPr>
            <w:tcW w:type="dxa" w:w="1610"/>
            <w:tcMar>
              <w:top w:type="dxa" w:w="80"/>
              <w:left w:type="dxa" w:w="100"/>
              <w:bottom w:type="dxa" w:w="80"/>
              <w:right w:type="dxa" w:w="100"/>
            </w:tcMar>
            <w:vAlign w:val="center"/>
          </w:tcPr>
          <w:p>
            <w:pPr>
              <w:jc w:val="left"/>
            </w:pPr>
            <w:r>
              <w:rPr>
                <w:b w:val="false"/>
                <w:bCs w:val="false"/>
                <w:color w:val="1F1F1F"/>
                <w:sz w:val="19"/>
                <w:szCs w:val="19"/>
              </w:rPr>
              <w:t xml:space="preserve">Coordinación</w:t>
            </w:r>
          </w:p>
        </w:tc>
        <w:tc>
          <w:tcPr>
            <w:tcW w:type="dxa" w:w="1610"/>
            <w:tcMar>
              <w:top w:type="dxa" w:w="80"/>
              <w:left w:type="dxa" w:w="100"/>
              <w:bottom w:type="dxa" w:w="80"/>
              <w:right w:type="dxa" w:w="100"/>
            </w:tcMar>
            <w:vAlign w:val="center"/>
          </w:tcPr>
          <w:p>
            <w:pPr>
              <w:jc w:val="left"/>
            </w:pPr>
            <w:r>
              <w:rPr>
                <w:b w:val="false"/>
                <w:bCs w:val="false"/>
                <w:color w:val="1F1F1F"/>
                <w:sz w:val="19"/>
                <w:szCs w:val="19"/>
              </w:rPr>
              <w:t xml:space="preserve">Comunicaciones FCE</w:t>
            </w:r>
          </w:p>
        </w:tc>
        <w:tc>
          <w:tcPr>
            <w:tcW w:type="dxa" w:w="1610"/>
            <w:tcMar>
              <w:top w:type="dxa" w:w="80"/>
              <w:left w:type="dxa" w:w="100"/>
              <w:bottom w:type="dxa" w:w="80"/>
              <w:right w:type="dxa" w:w="100"/>
            </w:tcMar>
            <w:vAlign w:val="center"/>
          </w:tcPr>
          <w:p>
            <w:pPr>
              <w:jc w:val="left"/>
            </w:pPr>
            <w:r>
              <w:rPr>
                <w:b w:val="false"/>
                <w:bCs w:val="false"/>
                <w:color w:val="1F1F1F"/>
                <w:sz w:val="19"/>
                <w:szCs w:val="19"/>
              </w:rPr>
              <w:t xml:space="preserve">Todas las áreas</w:t>
            </w:r>
          </w:p>
        </w:tc>
      </w:tr>
      <w:tr>
        <w:tc>
          <w:tcPr>
            <w:tcW w:type="dxa" w:w="310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Piezas gráficas y contenido audiovisual</w:t>
            </w:r>
          </w:p>
        </w:tc>
        <w:tc>
          <w:tcPr>
            <w:tcW w:type="dxa" w:w="161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Junior de Artes ET</w:t>
            </w:r>
          </w:p>
        </w:tc>
        <w:tc>
          <w:tcPr>
            <w:tcW w:type="dxa" w:w="161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Máster ET</w:t>
            </w:r>
          </w:p>
        </w:tc>
        <w:tc>
          <w:tcPr>
            <w:tcW w:type="dxa" w:w="161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Imagen Institucional UNAL</w:t>
            </w:r>
          </w:p>
        </w:tc>
        <w:tc>
          <w:tcPr>
            <w:tcW w:type="dxa" w:w="161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Área solicitante</w:t>
            </w:r>
          </w:p>
        </w:tc>
      </w:tr>
      <w:tr>
        <w:tc>
          <w:tcPr>
            <w:tcW w:type="dxa" w:w="3100"/>
            <w:tcMar>
              <w:top w:type="dxa" w:w="80"/>
              <w:left w:type="dxa" w:w="100"/>
              <w:bottom w:type="dxa" w:w="80"/>
              <w:right w:type="dxa" w:w="100"/>
            </w:tcMar>
            <w:vAlign w:val="center"/>
          </w:tcPr>
          <w:p>
            <w:pPr>
              <w:jc w:val="left"/>
            </w:pPr>
            <w:r>
              <w:rPr>
                <w:b w:val="false"/>
                <w:bCs w:val="false"/>
                <w:color w:val="1F1F1F"/>
                <w:sz w:val="19"/>
                <w:szCs w:val="19"/>
              </w:rPr>
              <w:t xml:space="preserve">Microtalleres y microeventos</w:t>
            </w:r>
          </w:p>
        </w:tc>
        <w:tc>
          <w:tcPr>
            <w:tcW w:type="dxa" w:w="1610"/>
            <w:tcMar>
              <w:top w:type="dxa" w:w="80"/>
              <w:left w:type="dxa" w:w="100"/>
              <w:bottom w:type="dxa" w:w="80"/>
              <w:right w:type="dxa" w:w="100"/>
            </w:tcMar>
            <w:vAlign w:val="center"/>
          </w:tcPr>
          <w:p>
            <w:pPr>
              <w:jc w:val="left"/>
            </w:pPr>
            <w:r>
              <w:rPr>
                <w:b w:val="false"/>
                <w:bCs w:val="false"/>
                <w:color w:val="1F1F1F"/>
                <w:sz w:val="19"/>
                <w:szCs w:val="19"/>
              </w:rPr>
              <w:t xml:space="preserve">Máster ET</w:t>
            </w:r>
          </w:p>
        </w:tc>
        <w:tc>
          <w:tcPr>
            <w:tcW w:type="dxa" w:w="1610"/>
            <w:tcMar>
              <w:top w:type="dxa" w:w="80"/>
              <w:left w:type="dxa" w:w="100"/>
              <w:bottom w:type="dxa" w:w="80"/>
              <w:right w:type="dxa" w:w="100"/>
            </w:tcMar>
            <w:vAlign w:val="center"/>
          </w:tcPr>
          <w:p>
            <w:pPr>
              <w:jc w:val="left"/>
            </w:pPr>
            <w:r>
              <w:rPr>
                <w:b w:val="false"/>
                <w:bCs w:val="false"/>
                <w:color w:val="1F1F1F"/>
                <w:sz w:val="19"/>
                <w:szCs w:val="19"/>
              </w:rPr>
              <w:t xml:space="preserve">Coordinación</w:t>
            </w:r>
          </w:p>
        </w:tc>
        <w:tc>
          <w:tcPr>
            <w:tcW w:type="dxa" w:w="1610"/>
            <w:tcMar>
              <w:top w:type="dxa" w:w="80"/>
              <w:left w:type="dxa" w:w="100"/>
              <w:bottom w:type="dxa" w:w="80"/>
              <w:right w:type="dxa" w:w="100"/>
            </w:tcMar>
            <w:vAlign w:val="center"/>
          </w:tcPr>
          <w:p>
            <w:pPr>
              <w:jc w:val="left"/>
            </w:pPr>
            <w:r>
              <w:rPr>
                <w:b w:val="false"/>
                <w:bCs w:val="false"/>
                <w:color w:val="1F1F1F"/>
                <w:sz w:val="19"/>
                <w:szCs w:val="19"/>
              </w:rPr>
              <w:t xml:space="preserve">Ad Honorem / egresados</w:t>
            </w:r>
          </w:p>
        </w:tc>
        <w:tc>
          <w:tcPr>
            <w:tcW w:type="dxa" w:w="1610"/>
            <w:tcMar>
              <w:top w:type="dxa" w:w="80"/>
              <w:left w:type="dxa" w:w="100"/>
              <w:bottom w:type="dxa" w:w="80"/>
              <w:right w:type="dxa" w:w="100"/>
            </w:tcMar>
            <w:vAlign w:val="center"/>
          </w:tcPr>
          <w:p>
            <w:pPr>
              <w:jc w:val="left"/>
            </w:pPr>
            <w:r>
              <w:rPr>
                <w:b w:val="false"/>
                <w:bCs w:val="false"/>
                <w:color w:val="1F1F1F"/>
                <w:sz w:val="19"/>
                <w:szCs w:val="19"/>
              </w:rPr>
              <w:t xml:space="preserve">Comunidad UIFCE</w:t>
            </w:r>
          </w:p>
        </w:tc>
      </w:tr>
      <w:tr>
        <w:tc>
          <w:tcPr>
            <w:tcW w:type="dxa" w:w="310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Hackatón (Semana UIFCE)</w:t>
            </w:r>
          </w:p>
        </w:tc>
        <w:tc>
          <w:tcPr>
            <w:tcW w:type="dxa" w:w="161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Máster ET</w:t>
            </w:r>
          </w:p>
        </w:tc>
        <w:tc>
          <w:tcPr>
            <w:tcW w:type="dxa" w:w="161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Coordinación</w:t>
            </w:r>
          </w:p>
        </w:tc>
        <w:tc>
          <w:tcPr>
            <w:tcW w:type="dxa" w:w="161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Profesores aliados</w:t>
            </w:r>
          </w:p>
        </w:tc>
        <w:tc>
          <w:tcPr>
            <w:tcW w:type="dxa" w:w="161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Comunidad universitaria</w:t>
            </w:r>
          </w:p>
        </w:tc>
      </w:tr>
      <w:tr>
        <w:tc>
          <w:tcPr>
            <w:tcW w:type="dxa" w:w="3100"/>
            <w:tcMar>
              <w:top w:type="dxa" w:w="80"/>
              <w:left w:type="dxa" w:w="100"/>
              <w:bottom w:type="dxa" w:w="80"/>
              <w:right w:type="dxa" w:w="100"/>
            </w:tcMar>
            <w:vAlign w:val="center"/>
          </w:tcPr>
          <w:p>
            <w:pPr>
              <w:jc w:val="left"/>
            </w:pPr>
            <w:r>
              <w:rPr>
                <w:b w:val="false"/>
                <w:bCs w:val="false"/>
                <w:color w:val="1F1F1F"/>
                <w:sz w:val="19"/>
                <w:szCs w:val="19"/>
              </w:rPr>
              <w:t xml:space="preserve">Extensión Solidaria</w:t>
            </w:r>
          </w:p>
        </w:tc>
        <w:tc>
          <w:tcPr>
            <w:tcW w:type="dxa" w:w="1610"/>
            <w:tcMar>
              <w:top w:type="dxa" w:w="80"/>
              <w:left w:type="dxa" w:w="100"/>
              <w:bottom w:type="dxa" w:w="80"/>
              <w:right w:type="dxa" w:w="100"/>
            </w:tcMar>
            <w:vAlign w:val="center"/>
          </w:tcPr>
          <w:p>
            <w:pPr>
              <w:jc w:val="left"/>
            </w:pPr>
            <w:r>
              <w:rPr>
                <w:b w:val="false"/>
                <w:bCs w:val="false"/>
                <w:color w:val="1F1F1F"/>
                <w:sz w:val="19"/>
                <w:szCs w:val="19"/>
              </w:rPr>
              <w:t xml:space="preserve">Máster ET</w:t>
            </w:r>
          </w:p>
        </w:tc>
        <w:tc>
          <w:tcPr>
            <w:tcW w:type="dxa" w:w="1610"/>
            <w:tcMar>
              <w:top w:type="dxa" w:w="80"/>
              <w:left w:type="dxa" w:w="100"/>
              <w:bottom w:type="dxa" w:w="80"/>
              <w:right w:type="dxa" w:w="100"/>
            </w:tcMar>
            <w:vAlign w:val="center"/>
          </w:tcPr>
          <w:p>
            <w:pPr>
              <w:jc w:val="left"/>
            </w:pPr>
            <w:r>
              <w:rPr>
                <w:b w:val="false"/>
                <w:bCs w:val="false"/>
                <w:color w:val="1F1F1F"/>
                <w:sz w:val="19"/>
                <w:szCs w:val="19"/>
              </w:rPr>
              <w:t xml:space="preserve">Vicedecanatura</w:t>
            </w:r>
          </w:p>
        </w:tc>
        <w:tc>
          <w:tcPr>
            <w:tcW w:type="dxa" w:w="1610"/>
            <w:tcMar>
              <w:top w:type="dxa" w:w="80"/>
              <w:left w:type="dxa" w:w="100"/>
              <w:bottom w:type="dxa" w:w="80"/>
              <w:right w:type="dxa" w:w="100"/>
            </w:tcMar>
            <w:vAlign w:val="center"/>
          </w:tcPr>
          <w:p>
            <w:pPr>
              <w:jc w:val="left"/>
            </w:pPr>
            <w:r>
              <w:rPr>
                <w:b w:val="false"/>
                <w:bCs w:val="false"/>
                <w:color w:val="1F1F1F"/>
                <w:sz w:val="19"/>
                <w:szCs w:val="19"/>
              </w:rPr>
              <w:t xml:space="preserve">Gestión de Fomento Socioeconómico</w:t>
            </w:r>
          </w:p>
        </w:tc>
        <w:tc>
          <w:tcPr>
            <w:tcW w:type="dxa" w:w="1610"/>
            <w:tcMar>
              <w:top w:type="dxa" w:w="80"/>
              <w:left w:type="dxa" w:w="100"/>
              <w:bottom w:type="dxa" w:w="80"/>
              <w:right w:type="dxa" w:w="100"/>
            </w:tcMar>
            <w:vAlign w:val="center"/>
          </w:tcPr>
          <w:p>
            <w:pPr>
              <w:jc w:val="left"/>
            </w:pPr>
            <w:r>
              <w:rPr>
                <w:b w:val="false"/>
                <w:bCs w:val="false"/>
                <w:color w:val="1F1F1F"/>
                <w:sz w:val="19"/>
                <w:szCs w:val="19"/>
              </w:rPr>
              <w:t xml:space="preserve">Coordinación</w:t>
            </w:r>
          </w:p>
        </w:tc>
      </w:tr>
      <w:tr>
        <w:tc>
          <w:tcPr>
            <w:tcW w:type="dxa" w:w="310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Semana UIFCE</w:t>
            </w:r>
          </w:p>
        </w:tc>
        <w:tc>
          <w:tcPr>
            <w:tcW w:type="dxa" w:w="161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Máster ET</w:t>
            </w:r>
          </w:p>
        </w:tc>
        <w:tc>
          <w:tcPr>
            <w:tcW w:type="dxa" w:w="161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Coordinación / VIE</w:t>
            </w:r>
          </w:p>
        </w:tc>
        <w:tc>
          <w:tcPr>
            <w:tcW w:type="dxa" w:w="161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Profesores y dependencias aliadas</w:t>
            </w:r>
          </w:p>
        </w:tc>
        <w:tc>
          <w:tcPr>
            <w:tcW w:type="dxa" w:w="161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Comunidad universitaria</w:t>
            </w:r>
          </w:p>
        </w:tc>
      </w:tr>
      <w:tr>
        <w:tc>
          <w:tcPr>
            <w:tcW w:type="dxa" w:w="3100"/>
            <w:tcMar>
              <w:top w:type="dxa" w:w="80"/>
              <w:left w:type="dxa" w:w="100"/>
              <w:bottom w:type="dxa" w:w="80"/>
              <w:right w:type="dxa" w:w="100"/>
            </w:tcMar>
            <w:vAlign w:val="center"/>
          </w:tcPr>
          <w:p>
            <w:pPr>
              <w:jc w:val="left"/>
            </w:pPr>
            <w:r>
              <w:rPr>
                <w:b w:val="false"/>
                <w:bCs w:val="false"/>
                <w:color w:val="1F1F1F"/>
                <w:sz w:val="19"/>
                <w:szCs w:val="19"/>
              </w:rPr>
              <w:t xml:space="preserve">Blog UIFCE (diseño y despliegue)</w:t>
            </w:r>
          </w:p>
        </w:tc>
        <w:tc>
          <w:tcPr>
            <w:tcW w:type="dxa" w:w="1610"/>
            <w:tcMar>
              <w:top w:type="dxa" w:w="80"/>
              <w:left w:type="dxa" w:w="100"/>
              <w:bottom w:type="dxa" w:w="80"/>
              <w:right w:type="dxa" w:w="100"/>
            </w:tcMar>
            <w:vAlign w:val="center"/>
          </w:tcPr>
          <w:p>
            <w:pPr>
              <w:jc w:val="left"/>
            </w:pPr>
            <w:r>
              <w:rPr>
                <w:b w:val="false"/>
                <w:bCs w:val="false"/>
                <w:color w:val="1F1F1F"/>
                <w:sz w:val="19"/>
                <w:szCs w:val="19"/>
              </w:rPr>
              <w:t xml:space="preserve">Máster ET</w:t>
            </w:r>
          </w:p>
        </w:tc>
        <w:tc>
          <w:tcPr>
            <w:tcW w:type="dxa" w:w="1610"/>
            <w:tcMar>
              <w:top w:type="dxa" w:w="80"/>
              <w:left w:type="dxa" w:w="100"/>
              <w:bottom w:type="dxa" w:w="80"/>
              <w:right w:type="dxa" w:w="100"/>
            </w:tcMar>
            <w:vAlign w:val="center"/>
          </w:tcPr>
          <w:p>
            <w:pPr>
              <w:jc w:val="left"/>
            </w:pPr>
            <w:r>
              <w:rPr>
                <w:b w:val="false"/>
                <w:bCs w:val="false"/>
                <w:color w:val="1F1F1F"/>
                <w:sz w:val="19"/>
                <w:szCs w:val="19"/>
              </w:rPr>
              <w:t xml:space="preserve">Coordinación</w:t>
            </w:r>
          </w:p>
        </w:tc>
        <w:tc>
          <w:tcPr>
            <w:tcW w:type="dxa" w:w="1610"/>
            <w:tcMar>
              <w:top w:type="dxa" w:w="80"/>
              <w:left w:type="dxa" w:w="100"/>
              <w:bottom w:type="dxa" w:w="80"/>
              <w:right w:type="dxa" w:w="100"/>
            </w:tcMar>
            <w:vAlign w:val="center"/>
          </w:tcPr>
          <w:p>
            <w:pPr>
              <w:jc w:val="left"/>
            </w:pPr>
            <w:r>
              <w:rPr>
                <w:b w:val="false"/>
                <w:bCs w:val="false"/>
                <w:color w:val="1F1F1F"/>
                <w:sz w:val="19"/>
                <w:szCs w:val="19"/>
              </w:rPr>
              <w:t xml:space="preserve">GC (contenido)</w:t>
            </w:r>
          </w:p>
        </w:tc>
        <w:tc>
          <w:tcPr>
            <w:tcW w:type="dxa" w:w="1610"/>
            <w:tcMar>
              <w:top w:type="dxa" w:w="80"/>
              <w:left w:type="dxa" w:w="100"/>
              <w:bottom w:type="dxa" w:w="80"/>
              <w:right w:type="dxa" w:w="100"/>
            </w:tcMar>
            <w:vAlign w:val="center"/>
          </w:tcPr>
          <w:p>
            <w:pPr>
              <w:jc w:val="left"/>
            </w:pPr>
            <w:r>
              <w:rPr>
                <w:b w:val="false"/>
                <w:bCs w:val="false"/>
                <w:color w:val="1F1F1F"/>
                <w:sz w:val="19"/>
                <w:szCs w:val="19"/>
              </w:rPr>
              <w:t xml:space="preserve">Comunicaciones FCE</w:t>
            </w:r>
          </w:p>
        </w:tc>
      </w:tr>
      <w:tr>
        <w:tc>
          <w:tcPr>
            <w:tcW w:type="dxa" w:w="310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Micrositio (contenido de equipo)</w:t>
            </w:r>
          </w:p>
        </w:tc>
        <w:tc>
          <w:tcPr>
            <w:tcW w:type="dxa" w:w="161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Junior de Artes ET</w:t>
            </w:r>
          </w:p>
        </w:tc>
        <w:tc>
          <w:tcPr>
            <w:tcW w:type="dxa" w:w="161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Máster ET</w:t>
            </w:r>
          </w:p>
        </w:tc>
        <w:tc>
          <w:tcPr>
            <w:tcW w:type="dxa" w:w="161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DS (aspectos técnicos)</w:t>
            </w:r>
          </w:p>
        </w:tc>
        <w:tc>
          <w:tcPr>
            <w:tcW w:type="dxa" w:w="161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Coordinación</w:t>
            </w:r>
          </w:p>
        </w:tc>
      </w:tr>
      <w:tr>
        <w:tc>
          <w:tcPr>
            <w:tcW w:type="dxa" w:w="3100"/>
            <w:tcMar>
              <w:top w:type="dxa" w:w="80"/>
              <w:left w:type="dxa" w:w="100"/>
              <w:bottom w:type="dxa" w:w="80"/>
              <w:right w:type="dxa" w:w="100"/>
            </w:tcMar>
            <w:vAlign w:val="center"/>
          </w:tcPr>
          <w:p>
            <w:pPr>
              <w:jc w:val="left"/>
            </w:pPr>
            <w:r>
              <w:rPr>
                <w:b w:val="false"/>
                <w:bCs w:val="false"/>
                <w:color w:val="1F1F1F"/>
                <w:sz w:val="19"/>
                <w:szCs w:val="19"/>
              </w:rPr>
              <w:t xml:space="preserve">Carteleras físicas y digitales</w:t>
            </w:r>
          </w:p>
        </w:tc>
        <w:tc>
          <w:tcPr>
            <w:tcW w:type="dxa" w:w="1610"/>
            <w:tcMar>
              <w:top w:type="dxa" w:w="80"/>
              <w:left w:type="dxa" w:w="100"/>
              <w:bottom w:type="dxa" w:w="80"/>
              <w:right w:type="dxa" w:w="100"/>
            </w:tcMar>
            <w:vAlign w:val="center"/>
          </w:tcPr>
          <w:p>
            <w:pPr>
              <w:jc w:val="left"/>
            </w:pPr>
            <w:r>
              <w:rPr>
                <w:b w:val="false"/>
                <w:bCs w:val="false"/>
                <w:color w:val="1F1F1F"/>
                <w:sz w:val="19"/>
                <w:szCs w:val="19"/>
              </w:rPr>
              <w:t xml:space="preserve">Junior de Artes ET</w:t>
            </w:r>
          </w:p>
        </w:tc>
        <w:tc>
          <w:tcPr>
            <w:tcW w:type="dxa" w:w="1610"/>
            <w:tcMar>
              <w:top w:type="dxa" w:w="80"/>
              <w:left w:type="dxa" w:w="100"/>
              <w:bottom w:type="dxa" w:w="80"/>
              <w:right w:type="dxa" w:w="100"/>
            </w:tcMar>
            <w:vAlign w:val="center"/>
          </w:tcPr>
          <w:p>
            <w:pPr>
              <w:jc w:val="left"/>
            </w:pPr>
            <w:r>
              <w:rPr>
                <w:b w:val="false"/>
                <w:bCs w:val="false"/>
                <w:color w:val="1F1F1F"/>
                <w:sz w:val="19"/>
                <w:szCs w:val="19"/>
              </w:rPr>
              <w:t xml:space="preserve">Máster ET</w:t>
            </w:r>
          </w:p>
        </w:tc>
        <w:tc>
          <w:tcPr>
            <w:tcW w:type="dxa" w:w="1610"/>
            <w:tcMar>
              <w:top w:type="dxa" w:w="80"/>
              <w:left w:type="dxa" w:w="100"/>
              <w:bottom w:type="dxa" w:w="80"/>
              <w:right w:type="dxa" w:w="100"/>
            </w:tcMar>
            <w:vAlign w:val="center"/>
          </w:tcPr>
          <w:p>
            <w:pPr>
              <w:jc w:val="left"/>
            </w:pPr>
            <w:r>
              <w:rPr>
                <w:b w:val="false"/>
                <w:bCs w:val="false"/>
                <w:color w:val="1F1F1F"/>
                <w:sz w:val="19"/>
                <w:szCs w:val="19"/>
              </w:rPr>
              <w:t xml:space="preserve">Comunicaciones FCE / CL</w:t>
            </w:r>
          </w:p>
        </w:tc>
        <w:tc>
          <w:tcPr>
            <w:tcW w:type="dxa" w:w="1610"/>
            <w:tcMar>
              <w:top w:type="dxa" w:w="80"/>
              <w:left w:type="dxa" w:w="100"/>
              <w:bottom w:type="dxa" w:w="80"/>
              <w:right w:type="dxa" w:w="100"/>
            </w:tcMar>
            <w:vAlign w:val="center"/>
          </w:tcPr>
          <w:p>
            <w:pPr>
              <w:jc w:val="left"/>
            </w:pPr>
            <w:r>
              <w:rPr>
                <w:b w:val="false"/>
                <w:bCs w:val="false"/>
                <w:color w:val="1F1F1F"/>
                <w:sz w:val="19"/>
                <w:szCs w:val="19"/>
              </w:rPr>
              <w:t xml:space="preserve">Coordinación</w:t>
            </w:r>
          </w:p>
        </w:tc>
      </w:tr>
      <w:tr>
        <w:tc>
          <w:tcPr>
            <w:tcW w:type="dxa" w:w="310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Términos y Condiciones ET</w:t>
            </w:r>
          </w:p>
        </w:tc>
        <w:tc>
          <w:tcPr>
            <w:tcW w:type="dxa" w:w="161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Máster ET</w:t>
            </w:r>
          </w:p>
        </w:tc>
        <w:tc>
          <w:tcPr>
            <w:tcW w:type="dxa" w:w="161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Coordinación</w:t>
            </w:r>
          </w:p>
        </w:tc>
        <w:tc>
          <w:tcPr>
            <w:tcW w:type="dxa" w:w="161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GC (formato normativo)</w:t>
            </w:r>
          </w:p>
        </w:tc>
        <w:tc>
          <w:tcPr>
            <w:tcW w:type="dxa" w:w="1610"/>
            <w:shd w:fill="F7F0F1" w:color="auto" w:val="clear"/>
            <w:tcMar>
              <w:top w:type="dxa" w:w="80"/>
              <w:left w:type="dxa" w:w="100"/>
              <w:bottom w:type="dxa" w:w="80"/>
              <w:right w:type="dxa" w:w="100"/>
            </w:tcMar>
            <w:vAlign w:val="center"/>
          </w:tcPr>
          <w:p>
            <w:pPr>
              <w:jc w:val="left"/>
            </w:pPr>
            <w:r>
              <w:rPr>
                <w:b w:val="false"/>
                <w:bCs w:val="false"/>
                <w:color w:val="1F1F1F"/>
                <w:sz w:val="19"/>
                <w:szCs w:val="19"/>
              </w:rPr>
              <w:t xml:space="preserve">Comunidad UIFCE</w:t>
            </w:r>
          </w:p>
        </w:tc>
      </w:tr>
    </w:tbl>
    <w:p>
      <w:pPr>
        <w:spacing w:after="160" w:line="276"/>
        <w:jc w:val="both"/>
      </w:pPr>
      <w:r>
        <w:rPr>
          <w:sz w:val="21"/>
          <w:szCs w:val="21"/>
        </w:rPr>
        <w:t xml:space="preserve"/>
      </w:r>
    </w:p>
    <w:p>
      <w:pPr>
        <w:pStyle w:val="Heading1"/>
        <w:pBdr>
          <w:bottom w:val="single" w:color="7A1F2B" w:sz="6" w:space="4"/>
        </w:pBdr>
        <w:spacing w:after="200" w:before="400"/>
      </w:pPr>
      <w:r>
        <w:rPr>
          <w:b/>
          <w:bCs/>
          <w:color w:val="7A1F2B"/>
          <w:sz w:val="30"/>
          <w:szCs w:val="30"/>
        </w:rPr>
        <w:t xml:space="preserve">6. Normativa y Documentos de Referencia</w:t>
      </w:r>
    </w:p>
    <w:p>
      <w:pPr>
        <w:pStyle w:val="ListParagraph"/>
        <w:numPr>
          <w:ilvl w:val="0"/>
          <w:numId w:val="2"/>
        </w:numPr>
        <w:spacing w:after="100" w:line="276"/>
        <w:jc w:val="both"/>
      </w:pPr>
      <w:r>
        <w:rPr>
          <w:b/>
          <w:bCs/>
          <w:sz w:val="21"/>
          <w:szCs w:val="21"/>
        </w:rPr>
        <w:t xml:space="preserve">Manual de Microtalleres y Microeventos (vigente). </w:t>
      </w:r>
      <w:r>
        <w:rPr>
          <w:sz w:val="21"/>
          <w:szCs w:val="21"/>
        </w:rPr>
        <w:t xml:space="preserve">Establece objetivos, modalidades, responsabilidades, inscripción, asistencia y evaluación de estas actividades.</w:t>
      </w:r>
    </w:p>
    <w:p>
      <w:pPr>
        <w:pStyle w:val="ListParagraph"/>
        <w:numPr>
          <w:ilvl w:val="0"/>
          <w:numId w:val="2"/>
        </w:numPr>
        <w:spacing w:after="100" w:line="276"/>
        <w:jc w:val="both"/>
      </w:pPr>
      <w:r>
        <w:rPr>
          <w:b/>
          <w:bCs/>
          <w:sz w:val="21"/>
          <w:szCs w:val="21"/>
        </w:rPr>
        <w:t xml:space="preserve">Términos y Condiciones de Estrategias Tecnológicas (pendiente — prioridad 2026-2). </w:t>
      </w:r>
      <w:r>
        <w:rPr>
          <w:sz w:val="21"/>
          <w:szCs w:val="21"/>
        </w:rPr>
        <w:t xml:space="preserve">Reglamentará de manera integral los tipos de evento de ET, cerrando la brecha identificada en el diagnóstico frente a la ausencia de penalizaciones claras por inasistencia.</w:t>
      </w:r>
    </w:p>
    <w:p>
      <w:pPr>
        <w:pStyle w:val="ListParagraph"/>
        <w:numPr>
          <w:ilvl w:val="0"/>
          <w:numId w:val="2"/>
        </w:numPr>
        <w:spacing w:after="100" w:line="276"/>
        <w:jc w:val="both"/>
      </w:pPr>
      <w:r>
        <w:rPr>
          <w:b/>
          <w:bCs/>
          <w:sz w:val="21"/>
          <w:szCs w:val="21"/>
        </w:rPr>
        <w:t xml:space="preserve">Lineamientos de Imagen Institucional de la UNAL. </w:t>
      </w:r>
      <w:r>
        <w:rPr>
          <w:sz w:val="21"/>
          <w:szCs w:val="21"/>
        </w:rPr>
        <w:t xml:space="preserve">Marco obligatorio para toda pieza gráfica, audiovisual y de certificación producida por el área.</w:t>
      </w:r>
    </w:p>
    <w:p>
      <w:pPr>
        <w:pStyle w:val="ListParagraph"/>
        <w:numPr>
          <w:ilvl w:val="0"/>
          <w:numId w:val="2"/>
        </w:numPr>
        <w:spacing w:after="100" w:line="276"/>
        <w:jc w:val="both"/>
      </w:pPr>
      <w:r>
        <w:rPr>
          <w:b/>
          <w:bCs/>
          <w:sz w:val="21"/>
          <w:szCs w:val="21"/>
        </w:rPr>
        <w:t xml:space="preserve">Guía de Empalme UIFCE (versión 2025). </w:t>
      </w:r>
      <w:r>
        <w:rPr>
          <w:sz w:val="21"/>
          <w:szCs w:val="21"/>
        </w:rPr>
        <w:t xml:space="preserve">Referencia oficial de responsabilidades cruzadas entre áreas, mantenida por Gestión del Conocimiento.</w:t>
      </w:r>
    </w:p>
    <w:p>
      <w:pPr>
        <w:pStyle w:val="Heading1"/>
        <w:pBdr>
          <w:bottom w:val="single" w:color="7A1F2B" w:sz="6" w:space="4"/>
        </w:pBdr>
        <w:spacing w:after="200" w:before="400"/>
      </w:pPr>
      <w:r>
        <w:rPr>
          <w:b/>
          <w:bCs/>
          <w:color w:val="7A1F2B"/>
          <w:sz w:val="30"/>
          <w:szCs w:val="30"/>
        </w:rPr>
        <w:t xml:space="preserve">7. Vigencia y Actualización</w:t>
      </w:r>
    </w:p>
    <w:p>
      <w:pPr>
        <w:spacing w:after="160" w:line="276"/>
        <w:jc w:val="both"/>
      </w:pPr>
      <w:r>
        <w:rPr>
          <w:sz w:val="21"/>
          <w:szCs w:val="21"/>
        </w:rPr>
        <w:t xml:space="preserve">Este manual rige para el periodo académico 2026-2 y debe revisarse al inicio de cada semestre en el marco del proceso de empalme, en articulación con la actualización de la Guía de Empalme UIFCE liderada por Gestión del Conocimiento. Cualquier modificación a la matriz de responsabilidades debe ser avalada por Coordinación.</w:t>
      </w:r>
    </w:p>
    <w:sectPr>
      <w:headerReference w:type="default" r:id="rId7"/>
      <w:footerReference w:type="default" r:id="rId8"/>
      <w:pgSz w:w="12240" w:h="15840" w:orient="portrait"/>
      <w:pgMar w:top="1350" w:right="1350" w:bottom="13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5"/>
        <w:szCs w:val="15"/>
      </w:rPr>
      <w:t xml:space="preserve">UIFCE · Facultad de Ciencias Económicas · UNAL — Página </w:t>
    </w:r>
    <w:r>
      <w:rPr>
        <w:color w:val="595959"/>
        <w:sz w:val="15"/>
        <w:szCs w:val="15"/>
      </w:rPr>
      <w:fldChar w:fldCharType="begin"/>
      <w:instrText xml:space="preserve">PAGE</w:instrText>
      <w:fldChar w:fldCharType="separate"/>
      <w:fldChar w:fldCharType="end"/>
    </w:r>
    <w:r>
      <w:rPr>
        <w:color w:val="595959"/>
        <w:sz w:val="15"/>
        <w:szCs w:val="15"/>
      </w:rPr>
      <w:t xml:space="preserve"> de </w:t>
    </w:r>
    <w:r>
      <w:rPr>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5"/>
        <w:szCs w:val="15"/>
      </w:rPr>
      <w:t xml:space="preserve">Área de Estrategias Tecnológicas (ET) · Planeación 2026-2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2026-08-21T00:20:18.170Z</dcterms:created>
  <dcterms:modified xsi:type="dcterms:W3CDTF">2026-08-21T00:20:18.188Z</dcterms:modified>
</cp:coreProperties>
</file>

<file path=docProps/custom.xml><?xml version="1.0" encoding="utf-8"?>
<Properties xmlns="http://schemas.openxmlformats.org/officeDocument/2006/custom-properties" xmlns:vt="http://schemas.openxmlformats.org/officeDocument/2006/docPropsVTypes"/>
</file>