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Diagnóstico</w:t>
      </w:r>
      <w:r>
        <w:t xml:space="preserve"> </w:t>
      </w:r>
      <w:r>
        <w:t xml:space="preserve">Inicial</w:t>
      </w:r>
      <w:r>
        <w:t xml:space="preserve"> </w:t>
      </w:r>
      <w:r>
        <w:t xml:space="preserve">Detallado</w:t>
      </w:r>
      <w:r>
        <w:t xml:space="preserve"> </w:t>
      </w:r>
      <w:r>
        <w:t xml:space="preserve">—</w:t>
      </w:r>
      <w:r>
        <w:t xml:space="preserve"> </w:t>
      </w:r>
      <w:r>
        <w:t xml:space="preserve">Área</w:t>
      </w:r>
      <w:r>
        <w:t xml:space="preserve"> </w:t>
      </w:r>
      <w:r>
        <w:t xml:space="preserve">de</w:t>
      </w:r>
      <w:r>
        <w:t xml:space="preserve"> </w:t>
      </w:r>
      <w:r>
        <w:t xml:space="preserve">Estrategias</w:t>
      </w:r>
      <w:r>
        <w:t xml:space="preserve"> </w:t>
      </w:r>
      <w:r>
        <w:t xml:space="preserve">Tecnológicas</w:t>
      </w:r>
      <w:r>
        <w:t xml:space="preserve"> </w:t>
      </w:r>
      <w:r>
        <w:t xml:space="preserve">(ET)</w:t>
      </w:r>
    </w:p>
    <w:p>
      <w:pPr>
        <w:pStyle w:val="Author"/>
      </w:pPr>
      <w:r>
        <w:t xml:space="preserve">UIFCE</w:t>
      </w:r>
      <w:r>
        <w:t xml:space="preserve"> </w:t>
      </w:r>
      <w:r>
        <w:t xml:space="preserve">—</w:t>
      </w:r>
      <w:r>
        <w:t xml:space="preserve"> </w:t>
      </w:r>
      <w:r>
        <w:t xml:space="preserve">Unidad</w:t>
      </w:r>
      <w:r>
        <w:t xml:space="preserve"> </w:t>
      </w:r>
      <w:r>
        <w:t xml:space="preserve">de</w:t>
      </w:r>
      <w:r>
        <w:t xml:space="preserve"> </w:t>
      </w:r>
      <w:r>
        <w:t xml:space="preserve">Informática,</w:t>
      </w:r>
      <w:r>
        <w:t xml:space="preserve"> </w:t>
      </w:r>
      <w:r>
        <w:t xml:space="preserve">Facultad</w:t>
      </w:r>
      <w:r>
        <w:t xml:space="preserve"> </w:t>
      </w:r>
      <w:r>
        <w:t xml:space="preserve">de</w:t>
      </w:r>
      <w:r>
        <w:t xml:space="preserve"> </w:t>
      </w:r>
      <w:r>
        <w:t xml:space="preserve">Ciencias</w:t>
      </w:r>
      <w:r>
        <w:t xml:space="preserve"> </w:t>
      </w:r>
      <w:r>
        <w:t xml:space="preserve">Económicas,</w:t>
      </w:r>
      <w:r>
        <w:t xml:space="preserve"> </w:t>
      </w:r>
      <w:r>
        <w:t xml:space="preserve">UNAL</w:t>
      </w:r>
    </w:p>
    <w:p>
      <w:pPr>
        <w:pStyle w:val="Date"/>
      </w:pPr>
      <w:r>
        <w:t xml:space="preserve">Insumo</w:t>
      </w:r>
      <w:r>
        <w:t xml:space="preserve"> </w:t>
      </w:r>
      <w:r>
        <w:t xml:space="preserve">para</w:t>
      </w:r>
      <w:r>
        <w:t xml:space="preserve"> </w:t>
      </w:r>
      <w:r>
        <w:t xml:space="preserve">la</w:t>
      </w:r>
      <w:r>
        <w:t xml:space="preserve"> </w:t>
      </w:r>
      <w:r>
        <w:t xml:space="preserve">Planeación</w:t>
      </w:r>
      <w:r>
        <w:t xml:space="preserve"> </w:t>
      </w:r>
      <w:r>
        <w:t xml:space="preserve">2026-2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Elaborado por:</w:t>
      </w:r>
      <w:r>
        <w:t xml:space="preserve"> </w:t>
      </w:r>
      <w:r>
        <w:t xml:space="preserve">Consultoría en Gobernanza de TI y Estrategia Digital Universitaria</w:t>
      </w:r>
      <w:r>
        <w:t xml:space="preserve"> </w:t>
      </w:r>
      <w:r>
        <w:rPr>
          <w:bCs/>
          <w:b/>
        </w:rPr>
        <w:t xml:space="preserve">Fecha:</w:t>
      </w:r>
      <w:r>
        <w:t xml:space="preserve"> </w:t>
      </w:r>
      <w:r>
        <w:t xml:space="preserve">20 de agosto de 2026 ·</w:t>
      </w:r>
      <w:r>
        <w:t xml:space="preserve"> </w:t>
      </w:r>
      <w:r>
        <w:rPr>
          <w:bCs/>
          <w:b/>
        </w:rPr>
        <w:t xml:space="preserve">Última actualización:</w:t>
      </w:r>
      <w:r>
        <w:t xml:space="preserve"> </w:t>
      </w:r>
      <w:r>
        <w:t xml:space="preserve">21 de agosto de 2026 (incorpora la transcripción completa del video de empalme entre la líder saliente y la entrante)</w:t>
      </w:r>
    </w:p>
    <w:p>
      <w:r>
        <w:pict>
          <v:rect style="width:0;height:1.5pt" o:hralign="center" o:hrstd="t" o:hr="t"/>
        </w:pict>
      </w:r>
    </w:p>
    <w:bookmarkStart w:id="20" w:name="resumen-ejecutivo"/>
    <w:p>
      <w:pPr>
        <w:pStyle w:val="Heading1"/>
      </w:pPr>
      <w:r>
        <w:t xml:space="preserve">Resumen ejecutivo</w:t>
      </w:r>
    </w:p>
    <w:p>
      <w:pPr>
        <w:pStyle w:val="FirstParagraph"/>
      </w:pPr>
      <w:r>
        <w:t xml:space="preserve">ET llega a 2026-2 con una trayectoria de tres semestres consecutivos de crecimiento sostenido en alcance y producción (2025-I → 2025-II → 2026-I), pero con un patrón repetido de fondo:</w:t>
      </w:r>
      <w:r>
        <w:t xml:space="preserve"> </w:t>
      </w:r>
      <w:r>
        <w:rPr>
          <w:bCs/>
          <w:b/>
        </w:rPr>
        <w:t xml:space="preserve">el volumen de actividad no siempre se traduce en impacto o posicionamiento institucional equivalente</w:t>
      </w:r>
      <w:r>
        <w:t xml:space="preserve">, y buena parte de ese crecimiento ha dependido del esfuerzo individual y no siempre sostenible de una sola persona por rol (una máster, un monitor de artes). A esto se suma, justo al cierre de 2026-1, una contingencia crítica: la pérdida de la cuenta de Instagram institucional, el canal de mayor alcance del área.</w:t>
      </w:r>
    </w:p>
    <w:p>
      <w:pPr>
        <w:pStyle w:val="BodyText"/>
      </w:pPr>
      <w:r>
        <w:t xml:space="preserve">Este documento responde a cuatro preguntas, en este orden: cómo llega el área a este semestre, qué dificultades ha tenido de forma recurrente (no solo anecdótica), qué proyectos están actualmente en proceso y en qué estado, y qué se recomienda hacer al respecto. Las recomendaciones de la sección 4 son la base directa de</w:t>
      </w:r>
      <w:r>
        <w:t xml:space="preserve"> </w:t>
      </w:r>
      <w:r>
        <w:rPr>
          <w:rStyle w:val="VerbatimChar"/>
        </w:rPr>
        <w:t xml:space="preserve">Estrategias Tecnológicas-Planeación 2026-2.xlsx</w:t>
      </w:r>
      <w:r>
        <w:t xml:space="preserve">, el Manual de Funciones y el Portafolio de Proyectos ya entregados.</w:t>
      </w:r>
    </w:p>
    <w:p>
      <w:r>
        <w:pict>
          <v:rect style="width:0;height:1.5pt" o:hralign="center" o:hrstd="t" o:hr="t"/>
        </w:pict>
      </w:r>
    </w:p>
    <w:bookmarkEnd w:id="20"/>
    <w:bookmarkStart w:id="26" w:name="cómo-llega-el-área-a-2026-2"/>
    <w:p>
      <w:pPr>
        <w:pStyle w:val="Heading1"/>
      </w:pPr>
      <w:r>
        <w:t xml:space="preserve">1. Cómo llega el área a 2026-2</w:t>
      </w:r>
    </w:p>
    <w:bookmarkStart w:id="21" w:name="fuentes-de-este-diagnóstico"/>
    <w:p>
      <w:pPr>
        <w:pStyle w:val="Heading2"/>
      </w:pPr>
      <w:r>
        <w:t xml:space="preserve">1.1 Fuentes de este diagnóstico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Documento</w:t>
            </w:r>
          </w:p>
        </w:tc>
        <w:tc>
          <w:tcPr/>
          <w:p>
            <w:pPr>
              <w:pStyle w:val="Compact"/>
              <w:jc w:val="left"/>
            </w:pPr>
            <w:r>
              <w:t xml:space="preserve">Periodo</w:t>
            </w:r>
          </w:p>
        </w:tc>
        <w:tc>
          <w:tcPr/>
          <w:p>
            <w:pPr>
              <w:pStyle w:val="Compact"/>
              <w:jc w:val="left"/>
            </w:pPr>
            <w:r>
              <w:t xml:space="preserve">Tipo de insumo</w:t>
            </w:r>
          </w:p>
        </w:tc>
      </w:tr>
      <w:tr>
        <w:tc>
          <w:tcPr/>
          <w:p>
            <w:pPr>
              <w:pStyle w:val="Compact"/>
              <w:jc w:val="left"/>
            </w:pPr>
            <w:r>
              <w:t xml:space="preserve">Informe de gestión ET</w:t>
            </w:r>
          </w:p>
        </w:tc>
        <w:tc>
          <w:tcPr/>
          <w:p>
            <w:pPr>
              <w:pStyle w:val="Compact"/>
              <w:jc w:val="left"/>
            </w:pPr>
            <w:r>
              <w:t xml:space="preserve">2025-I</w:t>
            </w:r>
          </w:p>
        </w:tc>
        <w:tc>
          <w:tcPr/>
          <w:p>
            <w:pPr>
              <w:pStyle w:val="Compact"/>
              <w:jc w:val="left"/>
            </w:pPr>
            <w:r>
              <w:t xml:space="preserve">Cierre de gestión, dificultades y propuestas</w:t>
            </w:r>
          </w:p>
        </w:tc>
      </w:tr>
      <w:tr>
        <w:tc>
          <w:tcPr/>
          <w:p>
            <w:pPr>
              <w:pStyle w:val="Compact"/>
              <w:jc w:val="left"/>
            </w:pPr>
            <w:r>
              <w:t xml:space="preserve">Informe de gestión ET</w:t>
            </w:r>
          </w:p>
        </w:tc>
        <w:tc>
          <w:tcPr/>
          <w:p>
            <w:pPr>
              <w:pStyle w:val="Compact"/>
              <w:jc w:val="left"/>
            </w:pPr>
            <w:r>
              <w:t xml:space="preserve">2025-II</w:t>
            </w:r>
          </w:p>
        </w:tc>
        <w:tc>
          <w:tcPr/>
          <w:p>
            <w:pPr>
              <w:pStyle w:val="Compact"/>
              <w:jc w:val="left"/>
            </w:pPr>
            <w:r>
              <w:t xml:space="preserve">Cierre de gestión, dificultades y propuestas</w:t>
            </w:r>
          </w:p>
        </w:tc>
      </w:tr>
      <w:tr>
        <w:tc>
          <w:tcPr/>
          <w:p>
            <w:pPr>
              <w:pStyle w:val="Compact"/>
              <w:jc w:val="left"/>
            </w:pPr>
            <w:r>
              <w:t xml:space="preserve">Estrategias Tecnológicas.xlsx (Planeación general + PE)</w:t>
            </w:r>
          </w:p>
        </w:tc>
        <w:tc>
          <w:tcPr/>
          <w:p>
            <w:pPr>
              <w:pStyle w:val="Compact"/>
              <w:jc w:val="left"/>
            </w:pPr>
            <w:r>
              <w:t xml:space="preserve">2025-II</w:t>
            </w:r>
          </w:p>
        </w:tc>
        <w:tc>
          <w:tcPr/>
          <w:p>
            <w:pPr>
              <w:pStyle w:val="Compact"/>
              <w:jc w:val="left"/>
            </w:pPr>
            <w:r>
              <w:t xml:space="preserve">Planeación operativa por iniciativa</w:t>
            </w:r>
          </w:p>
        </w:tc>
      </w:tr>
      <w:tr>
        <w:tc>
          <w:tcPr/>
          <w:p>
            <w:pPr>
              <w:pStyle w:val="Compact"/>
              <w:jc w:val="left"/>
            </w:pPr>
            <w:r>
              <w:t xml:space="preserve">Informe de gestión ET</w:t>
            </w:r>
          </w:p>
        </w:tc>
        <w:tc>
          <w:tcPr/>
          <w:p>
            <w:pPr>
              <w:pStyle w:val="Compact"/>
              <w:jc w:val="left"/>
            </w:pPr>
            <w:r>
              <w:t xml:space="preserve">2026-I</w:t>
            </w:r>
          </w:p>
        </w:tc>
        <w:tc>
          <w:tcPr/>
          <w:p>
            <w:pPr>
              <w:pStyle w:val="Compact"/>
              <w:jc w:val="left"/>
            </w:pPr>
            <w:r>
              <w:t xml:space="preserve">Cierre de gestión, dificultades y proyecciones</w:t>
            </w:r>
          </w:p>
        </w:tc>
      </w:tr>
      <w:tr>
        <w:tc>
          <w:tcPr/>
          <w:p>
            <w:pPr>
              <w:pStyle w:val="Compact"/>
              <w:jc w:val="left"/>
            </w:pPr>
            <w:r>
              <w:t xml:space="preserve">Estrategias Tecnológicas-Planeación 2026-1.xlsx</w:t>
            </w:r>
          </w:p>
        </w:tc>
        <w:tc>
          <w:tcPr/>
          <w:p>
            <w:pPr>
              <w:pStyle w:val="Compact"/>
              <w:jc w:val="left"/>
            </w:pPr>
            <w:r>
              <w:t xml:space="preserve">2026-I</w:t>
            </w:r>
          </w:p>
        </w:tc>
        <w:tc>
          <w:tcPr/>
          <w:p>
            <w:pPr>
              <w:pStyle w:val="Compact"/>
              <w:jc w:val="left"/>
            </w:pPr>
            <w:r>
              <w:t xml:space="preserve">Planeación operativa, seguimiento y evaluación de pagos por entregable</w:t>
            </w:r>
          </w:p>
        </w:tc>
      </w:tr>
      <w:tr>
        <w:tc>
          <w:tcPr/>
          <w:p>
            <w:pPr>
              <w:pStyle w:val="Compact"/>
              <w:jc w:val="left"/>
            </w:pPr>
            <w:r>
              <w:t xml:space="preserve">Datos Power BI 2026-1.xlsx</w:t>
            </w:r>
          </w:p>
        </w:tc>
        <w:tc>
          <w:tcPr/>
          <w:p>
            <w:pPr>
              <w:pStyle w:val="Compact"/>
              <w:jc w:val="left"/>
            </w:pPr>
            <w:r>
              <w:t xml:space="preserve">2026-I</w:t>
            </w:r>
          </w:p>
        </w:tc>
        <w:tc>
          <w:tcPr/>
          <w:p>
            <w:pPr>
              <w:pStyle w:val="Compact"/>
              <w:jc w:val="left"/>
            </w:pPr>
            <w:r>
              <w:t xml:space="preserve">Métricas de asistencia a microtalleres y evaluación de desempeño del equipo</w:t>
            </w:r>
          </w:p>
        </w:tc>
      </w:tr>
      <w:tr>
        <w:tc>
          <w:tcPr/>
          <w:p>
            <w:pPr>
              <w:pStyle w:val="Compact"/>
              <w:jc w:val="left"/>
            </w:pPr>
            <w:r>
              <w:t xml:space="preserve">Guía de Empalme UIFCE v2</w:t>
            </w:r>
          </w:p>
        </w:tc>
        <w:tc>
          <w:tcPr/>
          <w:p>
            <w:pPr>
              <w:pStyle w:val="Compact"/>
              <w:jc w:val="left"/>
            </w:pPr>
            <w:r>
              <w:t xml:space="preserve">2025</w:t>
            </w:r>
          </w:p>
        </w:tc>
        <w:tc>
          <w:tcPr/>
          <w:p>
            <w:pPr>
              <w:pStyle w:val="Compact"/>
              <w:jc w:val="left"/>
            </w:pPr>
            <w:r>
              <w:t xml:space="preserve">Roles, funciones y responsabilidades cruzadas de las 7 áreas de la UIFCE</w:t>
            </w:r>
          </w:p>
        </w:tc>
      </w:tr>
      <w:tr>
        <w:tc>
          <w:tcPr/>
          <w:p>
            <w:pPr>
              <w:pStyle w:val="Compact"/>
              <w:jc w:val="left"/>
            </w:pPr>
            <w:r>
              <w:t xml:space="preserve">Grabación de empalme ET (video, ~2 h)</w:t>
            </w:r>
          </w:p>
        </w:tc>
        <w:tc>
          <w:tcPr/>
          <w:p>
            <w:pPr>
              <w:pStyle w:val="Compact"/>
              <w:jc w:val="left"/>
            </w:pPr>
            <w:r>
              <w:t xml:space="preserve">Ago-2026</w:t>
            </w:r>
          </w:p>
        </w:tc>
        <w:tc>
          <w:tcPr/>
          <w:p>
            <w:pPr>
              <w:pStyle w:val="Compact"/>
              <w:jc w:val="left"/>
            </w:pPr>
            <w:r>
              <w:t xml:space="preserve">Transición entre líder saliente y entrante —</w:t>
            </w:r>
            <w:r>
              <w:t xml:space="preserve"> </w:t>
            </w:r>
            <w:r>
              <w:rPr>
                <w:bCs/>
                <w:b/>
              </w:rPr>
              <w:t xml:space="preserve">transcrita y procesada en su totalidad</w:t>
            </w:r>
            <w:r>
              <w:t xml:space="preserve">, ver</w:t>
            </w:r>
            <w:r>
              <w:t xml:space="preserve"> </w:t>
            </w:r>
            <w:r>
              <w:rPr>
                <w:rStyle w:val="VerbatimChar"/>
              </w:rPr>
              <w:t xml:space="preserve">Transcripcion_Empalme_ET_2026-2.docx</w:t>
            </w:r>
          </w:p>
        </w:tc>
      </w:tr>
    </w:tbl>
    <w:p>
      <w:pPr>
        <w:pStyle w:val="BodyText"/>
      </w:pPr>
      <w:r>
        <w:t xml:space="preserve">Con las ocho fuentes anteriores, el diagnóstico cubre tres semestres consecutivos de gestión documentada más el conocimiento tácito de la líder saliente, capturado en la reunión de empalme — la combinación que permite distinguir con más confianza qué dificultades son coyunturales y cuáles son estructurales del área.</w:t>
      </w:r>
    </w:p>
    <w:p>
      <w:pPr>
        <w:pStyle w:val="BodyText"/>
      </w:pPr>
      <w:r>
        <w:rPr>
          <w:bCs/>
          <w:b/>
        </w:rPr>
        <w:t xml:space="preserve">Nota terminológica:</w:t>
      </w:r>
      <w:r>
        <w:t xml:space="preserve"> </w:t>
      </w:r>
      <w:r>
        <w:t xml:space="preserve">todos los documentos fuente identifican consistentemente a la unidad como</w:t>
      </w:r>
      <w:r>
        <w:t xml:space="preserve"> </w:t>
      </w:r>
      <w:r>
        <w:rPr>
          <w:bCs/>
          <w:b/>
        </w:rPr>
        <w:t xml:space="preserve">Unidad de Informática de la Facultad de Ciencias Económicas (UIFCE)</w:t>
      </w:r>
      <w:r>
        <w:t xml:space="preserve">; esta es la denominación confirmada y usada en todos los entregables.</w:t>
      </w:r>
    </w:p>
    <w:bookmarkEnd w:id="21"/>
    <w:bookmarkStart w:id="22" w:name="X24317260471d06be6fcdb78de865b170e9ca3e6"/>
    <w:p>
      <w:pPr>
        <w:pStyle w:val="Heading2"/>
      </w:pPr>
      <w:r>
        <w:t xml:space="preserve">1.2 Trayectoria: qué construyó el área en tres semestres</w:t>
      </w:r>
    </w:p>
    <w:p>
      <w:pPr>
        <w:pStyle w:val="FirstParagraph"/>
      </w:pPr>
      <w:r>
        <w:rPr>
          <w:bCs/>
          <w:b/>
        </w:rPr>
        <w:t xml:space="preserve">2025-I — línea base.</w:t>
      </w:r>
      <w:r>
        <w:t xml:space="preserve"> </w:t>
      </w:r>
      <w:r>
        <w:t xml:space="preserve">Extensión Solidaria ya llevaba entonces dos años de intentos fallidos (275 instituciones contactadas en 2024, solo 2 interesadas; una alianza con la Fundación VGB suspendida por falta de garantías de equipos). La Hackatón se formuló por primera vez, ligada a los 40 años de la UIFCE. Solo se dictó un microtaller en todo el semestre, por una restricción física estructural que persiste hoy (ver 2.4). LinkedIn se oficializó con una cuenta personal, no con la cuenta empresa ya existente — decisión aplazada</w:t>
      </w:r>
      <w:r>
        <w:t xml:space="preserve"> </w:t>
      </w:r>
      <w:r>
        <w:t xml:space="preserve">“</w:t>
      </w:r>
      <w:r>
        <w:t xml:space="preserve">a discreción de futuros semestres</w:t>
      </w:r>
      <w:r>
        <w:t xml:space="preserve">”</w:t>
      </w:r>
      <w:r>
        <w:t xml:space="preserve">. Se completó desde cero la maqueta del Micrositio UIFCE.</w:t>
      </w:r>
    </w:p>
    <w:p>
      <w:pPr>
        <w:pStyle w:val="BodyText"/>
      </w:pPr>
      <w:r>
        <w:rPr>
          <w:bCs/>
          <w:b/>
        </w:rPr>
        <w:t xml:space="preserve">2025-II — expansión y primer intento de escalar eventos.</w:t>
      </w:r>
      <w:r>
        <w:t xml:space="preserve"> </w:t>
      </w:r>
      <w:r>
        <w:t xml:space="preserve">El área migró de piezas estáticas a contenido audiovisual (reels, historias, videos cortos protagonizados por monitores). Se conmemoraron los 40 años de la UIFCE con dos eventos (96 y 88 asistentes), ejecutados desde cero y sin plantilla previa. La Hackatón, ya formulada, se canceló por baja inscripción — la convocatoria se hizo tarde. Se renovó la línea gráfica de Cursos Libres y la cartelera física.</w:t>
      </w:r>
    </w:p>
    <w:p>
      <w:pPr>
        <w:pStyle w:val="BodyText"/>
      </w:pPr>
      <w:r>
        <w:rPr>
          <w:bCs/>
          <w:b/>
        </w:rPr>
        <w:t xml:space="preserve">2026-I — consolidación y primeros resultados medibles.</w:t>
      </w:r>
      <w:r>
        <w:t xml:space="preserve"> </w:t>
      </w:r>
      <w:r>
        <w:t xml:space="preserve">Instagram alcanzó 25 reels con 83.649 visualizaciones y 2.323 interacciones; LinkedIn pasó de canal subutilizado a 7 publicaciones con 1.491 impresiones y 42 reacciones; ambos quedaron oficializados ante la Oficina de Medios Digitales de la UNAL. Se publicaron 11 hacks informáticos nuevos (23.029 visualizaciones, 526</w:t>
      </w:r>
      <w:r>
        <w:t xml:space="preserve"> </w:t>
      </w:r>
      <w:r>
        <w:t xml:space="preserve">“</w:t>
      </w:r>
      <w:r>
        <w:t xml:space="preserve">me gusta</w:t>
      </w:r>
      <w:r>
        <w:t xml:space="preserve">”</w:t>
      </w:r>
      <w:r>
        <w:t xml:space="preserve">). Se dictaron 10 microtalleres (267 asistentes). Se redactó el primer Manual de Microtalleres y Microeventos del área.</w:t>
      </w:r>
    </w:p>
    <w:bookmarkEnd w:id="22"/>
    <w:bookmarkStart w:id="23" w:name="Xfceedeb8df7c7b1f4d8cd9b1a61b2a2b01641c7"/>
    <w:p>
      <w:pPr>
        <w:pStyle w:val="Heading2"/>
      </w:pPr>
      <w:r>
        <w:t xml:space="preserve">1.3 Estado de los canales al cierre de 2026-1 (punto de partida real de 2026-2)</w:t>
      </w:r>
    </w:p>
    <w:p>
      <w:pPr>
        <w:numPr>
          <w:ilvl w:val="0"/>
          <w:numId w:val="1001"/>
        </w:numPr>
        <w:pStyle w:val="Compact"/>
      </w:pPr>
      <w:r>
        <w:rPr>
          <w:bCs/>
          <w:b/>
        </w:rPr>
        <w:t xml:space="preserve">Instagram (</w:t>
      </w:r>
      <w:r>
        <w:rPr>
          <w:bCs/>
          <w:b/>
        </w:rPr>
        <w:t xml:space="preserve">@uifce_un</w:t>
      </w:r>
      <w:r>
        <w:rPr>
          <w:bCs/>
          <w:b/>
        </w:rPr>
        <w:t xml:space="preserve">):</w:t>
      </w:r>
      <w:r>
        <w:t xml:space="preserve"> </w:t>
      </w:r>
      <w:r>
        <w:t xml:space="preserve">era el canal de mayor alcance del área —</w:t>
      </w:r>
      <w:r>
        <w:t xml:space="preserve"> </w:t>
      </w:r>
      <w:r>
        <w:rPr>
          <w:bCs/>
          <w:b/>
        </w:rPr>
        <w:t xml:space="preserve">la cuenta se perdió</w:t>
      </w:r>
      <w:r>
        <w:t xml:space="preserve"> </w:t>
      </w:r>
      <w:r>
        <w:t xml:space="preserve">justo antes del inicio de 2026-2. Persiste incertidumbre real sobre qué ocurrió y sobre la identidad de la persona con la que se ha intentado retomar contacto (ver 2.5).</w:t>
      </w:r>
    </w:p>
    <w:p>
      <w:pPr>
        <w:numPr>
          <w:ilvl w:val="0"/>
          <w:numId w:val="1001"/>
        </w:numPr>
        <w:pStyle w:val="Compact"/>
      </w:pPr>
      <w:r>
        <w:rPr>
          <w:bCs/>
          <w:b/>
        </w:rPr>
        <w:t xml:space="preserve">LinkedIn:</w:t>
      </w:r>
      <w:r>
        <w:t xml:space="preserve"> </w:t>
      </w:r>
      <w:r>
        <w:t xml:space="preserve">activo y oficializado, pero operado desde una cuenta personal en lugar de la cuenta empresa institucional; es el canal con mayor potencial de crecimiento inmediato.</w:t>
      </w:r>
    </w:p>
    <w:p>
      <w:pPr>
        <w:numPr>
          <w:ilvl w:val="0"/>
          <w:numId w:val="1001"/>
        </w:numPr>
        <w:pStyle w:val="Compact"/>
      </w:pPr>
      <w:r>
        <w:rPr>
          <w:bCs/>
          <w:b/>
        </w:rPr>
        <w:t xml:space="preserve">YouTube:</w:t>
      </w:r>
      <w:r>
        <w:t xml:space="preserve"> </w:t>
      </w:r>
      <w:r>
        <w:t xml:space="preserve">trámite de oficialización iniciado en 2025-2, aún sin cerrar por inconvenientes de titularidad de cuenta.</w:t>
      </w:r>
    </w:p>
    <w:p>
      <w:pPr>
        <w:numPr>
          <w:ilvl w:val="0"/>
          <w:numId w:val="1001"/>
        </w:numPr>
        <w:pStyle w:val="Compact"/>
      </w:pPr>
      <w:r>
        <w:rPr>
          <w:bCs/>
          <w:b/>
        </w:rPr>
        <w:t xml:space="preserve">TikTok:</w:t>
      </w:r>
      <w:r>
        <w:t xml:space="preserve"> </w:t>
      </w:r>
      <w:r>
        <w:t xml:space="preserve">no existe todavía.</w:t>
      </w:r>
    </w:p>
    <w:p>
      <w:pPr>
        <w:numPr>
          <w:ilvl w:val="0"/>
          <w:numId w:val="1001"/>
        </w:numPr>
        <w:pStyle w:val="Compact"/>
      </w:pPr>
      <w:r>
        <w:rPr>
          <w:bCs/>
          <w:b/>
        </w:rPr>
        <w:t xml:space="preserve">Blog UIFCE:</w:t>
      </w:r>
      <w:r>
        <w:t xml:space="preserve"> </w:t>
      </w:r>
      <w:r>
        <w:t xml:space="preserve">diseñado por completo desde un proyecto de estudio de 2022, nunca publicado en producción.</w:t>
      </w:r>
    </w:p>
    <w:bookmarkEnd w:id="23"/>
    <w:bookmarkStart w:id="24" w:name="X8ba01eaf21b222430944d0c916938b7673b2f1c"/>
    <w:p>
      <w:pPr>
        <w:pStyle w:val="Heading2"/>
      </w:pPr>
      <w:r>
        <w:t xml:space="preserve">1.4 El relevo de liderazgo: qué muestra la reunión de empalme</w:t>
      </w:r>
    </w:p>
    <w:p>
      <w:pPr>
        <w:pStyle w:val="FirstParagraph"/>
      </w:pPr>
      <w:r>
        <w:t xml:space="preserve">La reunión de empalme (~2 h) entre la líder saliente y la entrante confirma, desde dentro, el mismo patrón que muestran los informes: un área que funcionó, en la práctica, con una carga de trabajo cercana a tiempo completo para una sola persona (la propia líder saliente estima haberle dedicado entre 20 y 40 horas semanales en los momentos de mayor exigencia), sin un repositorio único de conocimiento —cada máster entrante ha tenido que reconstruir contexto copiando carpetas completas de Drive de la máster anterior—, y con procesos operativos (consentimientos, agendamiento de microtalleres, presupuesto de eventos) que funcionan, pero que dependen casi por completo de la memoria de una sola persona en vez de estar documentados de forma accesible. El detalle completo está en</w:t>
      </w:r>
      <w:r>
        <w:t xml:space="preserve"> </w:t>
      </w:r>
      <w:r>
        <w:rPr>
          <w:rStyle w:val="VerbatimChar"/>
        </w:rPr>
        <w:t xml:space="preserve">Transcripcion_Empalme_ET_2026-2.docx</w:t>
      </w:r>
      <w:r>
        <w:t xml:space="preserve">; las secciones 2 y 3 de este diagnóstico retoman sus hallazgos más relevantes.</w:t>
      </w:r>
    </w:p>
    <w:bookmarkEnd w:id="24"/>
    <w:bookmarkStart w:id="25" w:name="Xc4e74c3a6297df422dc669365bdfb62ed3f8bad"/>
    <w:p>
      <w:pPr>
        <w:pStyle w:val="Heading2"/>
      </w:pPr>
      <w:r>
        <w:t xml:space="preserve">1.5 Equipo y recursos con los que arranca el semestre</w:t>
      </w:r>
    </w:p>
    <w:p>
      <w:pPr>
        <w:numPr>
          <w:ilvl w:val="0"/>
          <w:numId w:val="1002"/>
        </w:numPr>
        <w:pStyle w:val="Compact"/>
      </w:pPr>
      <w:r>
        <w:rPr>
          <w:bCs/>
          <w:b/>
        </w:rPr>
        <w:t xml:space="preserve">Un(a) máster</w:t>
      </w:r>
      <w:r>
        <w:t xml:space="preserve"> </w:t>
      </w:r>
      <w:r>
        <w:t xml:space="preserve">de ET (rotación semestral) y un equipo de monitores Junior, con un</w:t>
      </w:r>
      <w:r>
        <w:t xml:space="preserve"> </w:t>
      </w:r>
      <w:r>
        <w:rPr>
          <w:bCs/>
          <w:b/>
        </w:rPr>
        <w:t xml:space="preserve">único monitor de artes</w:t>
      </w:r>
      <w:r>
        <w:t xml:space="preserve"> </w:t>
      </w:r>
      <w:r>
        <w:t xml:space="preserve">del que depende toda la edición audiovisual del área.</w:t>
      </w:r>
    </w:p>
    <w:p>
      <w:pPr>
        <w:numPr>
          <w:ilvl w:val="0"/>
          <w:numId w:val="1002"/>
        </w:numPr>
        <w:pStyle w:val="Compact"/>
      </w:pPr>
      <w:r>
        <w:rPr>
          <w:bCs/>
          <w:b/>
        </w:rPr>
        <w:t xml:space="preserve">Sin licencias institucionales</w:t>
      </w:r>
      <w:r>
        <w:t xml:space="preserve"> </w:t>
      </w:r>
      <w:r>
        <w:t xml:space="preserve">de software de diseño/edición; la única mitigación lograda hasta ahora es la instalación de Adobe en un equipo específico de la unidad (perfil</w:t>
      </w:r>
      <w:r>
        <w:t xml:space="preserve"> </w:t>
      </w:r>
      <w:r>
        <w:t xml:space="preserve">“</w:t>
      </w:r>
      <w:r>
        <w:t xml:space="preserve">Luisito</w:t>
      </w:r>
      <w:r>
        <w:t xml:space="preserve">”</w:t>
      </w:r>
      <w:r>
        <w:t xml:space="preserve">), de vigencia no verificada.</w:t>
      </w:r>
    </w:p>
    <w:p>
      <w:pPr>
        <w:numPr>
          <w:ilvl w:val="0"/>
          <w:numId w:val="1002"/>
        </w:numPr>
        <w:pStyle w:val="Compact"/>
      </w:pPr>
      <w:r>
        <w:rPr>
          <w:bCs/>
          <w:b/>
        </w:rPr>
        <w:t xml:space="preserve">Espacio físico limitado</w:t>
      </w:r>
      <w:r>
        <w:t xml:space="preserve">: fuera de una negociación puntual de salas, la UIFCE queda prácticamente restringida a la Sala 6 (16 computadores) para eventos propios.</w:t>
      </w:r>
    </w:p>
    <w:p>
      <w:pPr>
        <w:numPr>
          <w:ilvl w:val="0"/>
          <w:numId w:val="1002"/>
        </w:numPr>
        <w:pStyle w:val="Compact"/>
      </w:pPr>
      <w:r>
        <w:rPr>
          <w:bCs/>
          <w:b/>
        </w:rPr>
        <w:t xml:space="preserve">Sin cuenta de Instagram activa</w:t>
      </w:r>
      <w:r>
        <w:t xml:space="preserve"> </w:t>
      </w:r>
      <w:r>
        <w:t xml:space="preserve">al momento de iniciar el semestre — la contingencia más urgente que hereda el equipo entrante.</w:t>
      </w:r>
    </w:p>
    <w:p>
      <w:r>
        <w:pict>
          <v:rect style="width:0;height:1.5pt" o:hralign="center" o:hrstd="t" o:hr="t"/>
        </w:pict>
      </w:r>
    </w:p>
    <w:bookmarkEnd w:id="25"/>
    <w:bookmarkEnd w:id="26"/>
    <w:bookmarkStart w:id="37" w:name="X58c22e0c8325d21abef6ce8789ca74870a31333"/>
    <w:p>
      <w:pPr>
        <w:pStyle w:val="Heading1"/>
      </w:pPr>
      <w:r>
        <w:t xml:space="preserve">2. Dificultades que ha tenido el área de forma recurrente</w:t>
      </w:r>
    </w:p>
    <w:p>
      <w:pPr>
        <w:pStyle w:val="FirstParagraph"/>
      </w:pPr>
      <w:r>
        <w:t xml:space="preserve">Esta sección distingue dificultades</w:t>
      </w:r>
      <w:r>
        <w:t xml:space="preserve"> </w:t>
      </w:r>
      <w:r>
        <w:rPr>
          <w:bCs/>
          <w:b/>
        </w:rPr>
        <w:t xml:space="preserve">estructurales</w:t>
      </w:r>
      <w:r>
        <w:t xml:space="preserve"> </w:t>
      </w:r>
      <w:r>
        <w:t xml:space="preserve">(se repiten semestre a semestre, con causas que no dependen de quién esté a cargo) de dificultades</w:t>
      </w:r>
      <w:r>
        <w:t xml:space="preserve"> </w:t>
      </w:r>
      <w:r>
        <w:rPr>
          <w:bCs/>
          <w:b/>
        </w:rPr>
        <w:t xml:space="preserve">coyunturales</w:t>
      </w:r>
      <w:r>
        <w:t xml:space="preserve"> </w:t>
      </w:r>
      <w:r>
        <w:t xml:space="preserve">(propias de un semestre o proyecto puntual), y complementa cada una con lo que confirma la reunión de empalme.</w:t>
      </w:r>
    </w:p>
    <w:bookmarkStart w:id="27" w:name="X355f88f1e857d8cedbe4b1fddab32852d25a289"/>
    <w:p>
      <w:pPr>
        <w:pStyle w:val="Heading2"/>
      </w:pPr>
      <w:r>
        <w:t xml:space="preserve">2.1 Sobrecarga concentrada en muy pocas personas (estructural)</w:t>
      </w:r>
    </w:p>
    <w:p>
      <w:pPr>
        <w:pStyle w:val="FirstParagraph"/>
      </w:pPr>
      <w:r>
        <w:t xml:space="preserve">Toda la producción audiovisual del área depende de un único monitor de artes, y buena parte de la gestión estratégica (redes, eventos, presupuesto, relación con otras dependencias) recae en una sola máster. La líder saliente describe explícitamente haber tenido que frenarse a sí misma (</w:t>
      </w:r>
      <w:r>
        <w:t xml:space="preserve">“</w:t>
      </w:r>
      <w:r>
        <w:t xml:space="preserve">le dije: no, dejen así, tranquilo</w:t>
      </w:r>
      <w:r>
        <w:t xml:space="preserve">”</w:t>
      </w:r>
      <w:r>
        <w:t xml:space="preserve">) para no sobrecargar a su equipo, y reconoce que en el último mes de su gestión ya estaba</w:t>
      </w:r>
      <w:r>
        <w:t xml:space="preserve"> </w:t>
      </w:r>
      <w:r>
        <w:t xml:space="preserve">“</w:t>
      </w:r>
      <w:r>
        <w:t xml:space="preserve">muy cargada</w:t>
      </w:r>
      <w:r>
        <w:t xml:space="preserve">”</w:t>
      </w:r>
      <w:r>
        <w:t xml:space="preserve">. Esto no es un problema de una persona en particular: se repite en los tres semestres analizados y es la razón directa por la que este diagnóstico y la planeación 2026-2 adoptan</w:t>
      </w:r>
      <w:r>
        <w:t xml:space="preserve"> </w:t>
      </w:r>
      <w:r>
        <w:t xml:space="preserve">“</w:t>
      </w:r>
      <w:r>
        <w:t xml:space="preserve">calidad sobre cantidad</w:t>
      </w:r>
      <w:r>
        <w:t xml:space="preserve">”</w:t>
      </w:r>
      <w:r>
        <w:t xml:space="preserve"> </w:t>
      </w:r>
      <w:r>
        <w:t xml:space="preserve">como principio explícito (ver sección 4).</w:t>
      </w:r>
    </w:p>
    <w:bookmarkEnd w:id="27"/>
    <w:bookmarkStart w:id="28" w:name="Xe1f30c8f371019aebe5e975662ea301d8840fd5"/>
    <w:p>
      <w:pPr>
        <w:pStyle w:val="Heading2"/>
      </w:pPr>
      <w:r>
        <w:t xml:space="preserve">2.2 Fricción de tiempos con Cursos Libres (estructural)</w:t>
      </w:r>
    </w:p>
    <w:p>
      <w:pPr>
        <w:pStyle w:val="FirstParagraph"/>
      </w:pPr>
      <w:r>
        <w:t xml:space="preserve">Es, en palabras de la propia líder saliente,</w:t>
      </w:r>
      <w:r>
        <w:t xml:space="preserve"> </w:t>
      </w:r>
      <w:r>
        <w:t xml:space="preserve">“</w:t>
      </w:r>
      <w:r>
        <w:t xml:space="preserve">el área con la que más fricción de tiempos se presenta</w:t>
      </w:r>
      <w:r>
        <w:t xml:space="preserve">”</w:t>
      </w:r>
      <w:r>
        <w:t xml:space="preserve">: los procesos de agendamiento de salones de Cursos Libres suelen demorarse y luego le piden a ET piezas gráficas con plazos muy cortos (</w:t>
      </w:r>
      <w:r>
        <w:t xml:space="preserve">“</w:t>
      </w:r>
      <w:r>
        <w:t xml:space="preserve">como si fuera ChatGPT</w:t>
      </w:r>
      <w:r>
        <w:t xml:space="preserve">”</w:t>
      </w:r>
      <w:r>
        <w:t xml:space="preserve">), generando tensión cuando el lanzamiento se atrasa por causas ajenas a ET. Esto ya aparecía en los informes de gestión como protocolo de difusión ante cancelación de cursos; la reunión de empalme confirma que el protocolo existe, pero no resuelve la causa de fondo (tiempos de otra área fuera del control de ET).</w:t>
      </w:r>
    </w:p>
    <w:bookmarkEnd w:id="28"/>
    <w:bookmarkStart w:id="29" w:name="X61e3d71a59dcce8f09e2d439381e285742a7559"/>
    <w:p>
      <w:pPr>
        <w:pStyle w:val="Heading2"/>
      </w:pPr>
      <w:r>
        <w:t xml:space="preserve">2.3 Gestión de presupuesto y patrocinios lenta y dependiente de terceros (estructural)</w:t>
      </w:r>
    </w:p>
    <w:p>
      <w:pPr>
        <w:pStyle w:val="FirstParagraph"/>
      </w:pPr>
      <w:r>
        <w:t xml:space="preserve">Conseguir presupuesto para eventos (cupos en diplomados, refrigerios, patrocinios) requiere coordinar con dependencias externas a la UIFCE —Vicedecanatura de Investigación y Extensión, CIID— cuyos tiempos y cambios de administración no dependen del área. El caso de Extensión Solidaria es el ejemplo más claro:</w:t>
      </w:r>
      <w:r>
        <w:t xml:space="preserve"> </w:t>
      </w:r>
      <w:r>
        <w:rPr>
          <w:bCs/>
          <w:b/>
        </w:rPr>
        <w:t xml:space="preserve">lleva tres años intentándose</w:t>
      </w:r>
      <w:r>
        <w:t xml:space="preserve"> </w:t>
      </w:r>
      <w:r>
        <w:t xml:space="preserve">(275 instituciones contactadas en 2024, alianza suspendida con la Fundación VGB, propuesta técnica completa desde 2025-I) y sigue sin ejecutarse por razones administrativas ajenas al área. Para 2026-2, el propio profesor a cargo recomendó</w:t>
      </w:r>
      <w:r>
        <w:t xml:space="preserve"> </w:t>
      </w:r>
      <w:r>
        <w:rPr>
          <w:bCs/>
          <w:b/>
        </w:rPr>
        <w:t xml:space="preserve">esperar el cambio de Vicedecanatura en curso</w:t>
      </w:r>
      <w:r>
        <w:t xml:space="preserve"> </w:t>
      </w:r>
      <w:r>
        <w:t xml:space="preserve">antes de formalizar cualquier trámite nuevo, para no arriesgar compromisos con una administración saliente.</w:t>
      </w:r>
    </w:p>
    <w:bookmarkEnd w:id="29"/>
    <w:bookmarkStart w:id="30" w:name="Xcfba6b6f206c455f93c16c784c5bdc4f222fceb"/>
    <w:p>
      <w:pPr>
        <w:pStyle w:val="Heading2"/>
      </w:pPr>
      <w:r>
        <w:t xml:space="preserve">2.4 Restricción estructural de espacios físicos (estructural)</w:t>
      </w:r>
    </w:p>
    <w:p>
      <w:pPr>
        <w:pStyle w:val="FirstParagraph"/>
      </w:pPr>
      <w:r>
        <w:t xml:space="preserve">Las salas del edificio 310 están copadas casi en su totalidad por escuelas y profesores; la UIFCE queda prácticamente limitada a la Sala 6 del edificio 238 (16 computadores). Esto pone un techo real a cuántos microtalleres presenciales puede ofrecer el área, independientemente de la demanda o de la calidad de la oferta.</w:t>
      </w:r>
    </w:p>
    <w:bookmarkEnd w:id="30"/>
    <w:bookmarkStart w:id="31" w:name="X107c75b38b663d0bb823bebd4263e203e5f6d0c"/>
    <w:p>
      <w:pPr>
        <w:pStyle w:val="Heading2"/>
      </w:pPr>
      <w:r>
        <w:t xml:space="preserve">2.5 Pérdida de continuidad y de conocimiento institucional (estructural, con un caso crítico)</w:t>
      </w:r>
    </w:p>
    <w:p>
      <w:pPr>
        <w:pStyle w:val="FirstParagraph"/>
      </w:pPr>
      <w:r>
        <w:t xml:space="preserve">El conocimiento operativo del área —quién es cada contacto, cómo se tramita cada cosa, dónde están los accesos— vive en la memoria de quien sale, no en un repositorio accesible. La propia líder saliente identificó este riesgo y propuso, en la misma reunión de empalme, dejar de copiar carpetas completas semestre a semestre y usar en su lugar accesos directos a un repositorio único. El caso más grave de este riesgo materializado es la</w:t>
      </w:r>
      <w:r>
        <w:t xml:space="preserve"> </w:t>
      </w:r>
      <w:r>
        <w:rPr>
          <w:bCs/>
          <w:b/>
        </w:rPr>
        <w:t xml:space="preserve">pérdida de la cuenta de Instagram</w:t>
      </w:r>
      <w:r>
        <w:rPr>
          <w:bCs/>
          <w:b/>
        </w:rPr>
        <w:t xml:space="preserve"> </w:t>
      </w:r>
      <w:r>
        <w:rPr>
          <w:bCs/>
          <w:b/>
        </w:rPr>
        <w:t xml:space="preserve">@uifce_un</w:t>
      </w:r>
      <w:r>
        <w:t xml:space="preserve">: no hay certeza sobre qué ocurrió ni sobre la identidad de la persona contactada en los intentos de recuperación, y no existía un respaldo documental centralizado de credenciales y accesos que permitiera resolverlo con rapidez.</w:t>
      </w:r>
    </w:p>
    <w:bookmarkEnd w:id="31"/>
    <w:bookmarkStart w:id="32" w:name="Xa9a6ae3e88de4bad5757392b2771aa866681ff1"/>
    <w:p>
      <w:pPr>
        <w:pStyle w:val="Heading2"/>
      </w:pPr>
      <w:r>
        <w:t xml:space="preserve">2.6 Alta inscripción con baja asistencia efectiva a microtalleres (estructural)</w:t>
      </w:r>
    </w:p>
    <w:p>
      <w:pPr>
        <w:pStyle w:val="FirstParagraph"/>
      </w:pPr>
      <w:r>
        <w:t xml:space="preserve">Confirmado en los tres semestres: la brecha entre quienes se inscriben y quienes asisten realmente ha sido persistente (hasta ~2% de asistencia efectiva en los últimos microtalleres de 2025-2). Las medidas ya probadas —correos de confirmación, cupos flexibles— no resolvieron el problema. Además, no había hasta ahora ningún incentivo tangible para quien sí asiste (los certificados de participación son una idea nueva, sin implementar aún).</w:t>
      </w:r>
    </w:p>
    <w:bookmarkEnd w:id="32"/>
    <w:bookmarkStart w:id="33" w:name="Xe87f5a2d22e0d70f20195f768c61fa4bfd64854"/>
    <w:p>
      <w:pPr>
        <w:pStyle w:val="Heading2"/>
      </w:pPr>
      <w:r>
        <w:t xml:space="preserve">2.7 Convocatoria tardía en eventos participativos (coyuntural, pero repetida)</w:t>
      </w:r>
    </w:p>
    <w:p>
      <w:pPr>
        <w:pStyle w:val="FirstParagraph"/>
      </w:pPr>
      <w:r>
        <w:t xml:space="preserve">La Hackatón se canceló en 2025-2 por baja inscripción, después de anunciarse con muy poca anticipación (</w:t>
      </w:r>
      <w:r>
        <w:t xml:space="preserve">“</w:t>
      </w:r>
      <w:r>
        <w:t xml:space="preserve">de un día para otro</w:t>
      </w:r>
      <w:r>
        <w:t xml:space="preserve">”</w:t>
      </w:r>
      <w:r>
        <w:t xml:space="preserve">). Es un patrón que ya se había repetido con la propia Hackatón formulada en 2025-I. La lección, confirmada de forma independiente tanto en los informes como en la reunión de empalme, es que la convocatoria anticipada no es opcional para este tipo de evento.</w:t>
      </w:r>
    </w:p>
    <w:bookmarkEnd w:id="33"/>
    <w:bookmarkStart w:id="34" w:name="X13b6c79929092a3f7cbada9ea1d193a71b627bb"/>
    <w:p>
      <w:pPr>
        <w:pStyle w:val="Heading2"/>
      </w:pPr>
      <w:r>
        <w:t xml:space="preserve">2.8 Dependencia de intermediarios externos poco predecibles (coyuntural, recurrente en eventos)</w:t>
      </w:r>
    </w:p>
    <w:p>
      <w:pPr>
        <w:pStyle w:val="FirstParagraph"/>
      </w:pPr>
      <w:r>
        <w:t xml:space="preserve">Conseguir invitados externos para conferencias depende de contactos personales de terceros (un profesor con red de contactos, quien a su vez debe ser recordado activamente porque tiende a demorar respuestas). Es un mecanismo que ha funcionado, pero que no escala ni es predecible como proceso institucional.</w:t>
      </w:r>
    </w:p>
    <w:bookmarkEnd w:id="34"/>
    <w:bookmarkStart w:id="35" w:name="X2549eb0ad9f7430e16fa2eea6c4a2025c2e2ec2"/>
    <w:p>
      <w:pPr>
        <w:pStyle w:val="Heading2"/>
      </w:pPr>
      <w:r>
        <w:t xml:space="preserve">2.9 Ausencia de licencias institucionales de software (estructural)</w:t>
      </w:r>
    </w:p>
    <w:p>
      <w:pPr>
        <w:pStyle w:val="FirstParagraph"/>
      </w:pPr>
      <w:r>
        <w:t xml:space="preserve">Toda la producción de piezas gráficas y video se apoya en licencias personales de los monitores o en una única instalación de Adobe en un equipo de la unidad, de vigencia no verificada. Compromete la sostenibilidad de cualquier portafolio de contenido que dependa de este recurso.</w:t>
      </w:r>
    </w:p>
    <w:bookmarkEnd w:id="35"/>
    <w:bookmarkStart w:id="36" w:name="Xfd2fcc5a7f0a861c2c8e7a00357d356dfeb6931"/>
    <w:p>
      <w:pPr>
        <w:pStyle w:val="Heading2"/>
      </w:pPr>
      <w:r>
        <w:t xml:space="preserve">2.10 Falta de reglamentación formal para microtalleres y microeventos (coyuntural, en proceso de cierre)</w:t>
      </w:r>
    </w:p>
    <w:p>
      <w:pPr>
        <w:pStyle w:val="FirstParagraph"/>
      </w:pPr>
      <w:r>
        <w:t xml:space="preserve">A diferencia de Cursos Libres, ET no tiene un documento de Términos y Condiciones que regule penalizaciones por inasistencia u otras reglas operativas; el Manual de Microtalleres y Microeventos (2026-1) es un primer avance, pero el cierre formal de Términos y Condiciones sigue pendiente.</w:t>
      </w:r>
    </w:p>
    <w:p>
      <w:r>
        <w:pict>
          <v:rect style="width:0;height:1.5pt" o:hralign="center" o:hrstd="t" o:hr="t"/>
        </w:pict>
      </w:r>
    </w:p>
    <w:bookmarkEnd w:id="36"/>
    <w:bookmarkEnd w:id="37"/>
    <w:bookmarkStart w:id="38" w:name="proyectos-actualmente-en-proceso"/>
    <w:p>
      <w:pPr>
        <w:pStyle w:val="Heading1"/>
      </w:pPr>
      <w:r>
        <w:t xml:space="preserve">3. Proyectos actualmente en proceso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Proyecto</w:t>
            </w:r>
          </w:p>
        </w:tc>
        <w:tc>
          <w:tcPr/>
          <w:p>
            <w:pPr>
              <w:pStyle w:val="Compact"/>
              <w:jc w:val="left"/>
            </w:pPr>
            <w:r>
              <w:t xml:space="preserve">Estado al iniciar 2026-2</w:t>
            </w:r>
          </w:p>
        </w:tc>
        <w:tc>
          <w:tcPr/>
          <w:p>
            <w:pPr>
              <w:pStyle w:val="Compact"/>
              <w:jc w:val="left"/>
            </w:pPr>
            <w:r>
              <w:t xml:space="preserve">Qué falta</w:t>
            </w:r>
          </w:p>
        </w:tc>
      </w:tr>
      <w:tr>
        <w:tc>
          <w:tcPr/>
          <w:p>
            <w:pPr>
              <w:pStyle w:val="Compact"/>
              <w:jc w:val="left"/>
            </w:pPr>
            <w:r>
              <w:rPr>
                <w:bCs/>
                <w:b/>
              </w:rPr>
              <w:t xml:space="preserve">Recuperación/recreación de Instagram</w:t>
            </w:r>
            <w:r>
              <w:rPr>
                <w:bCs/>
                <w:b/>
              </w:rPr>
              <w:t xml:space="preserve"> </w:t>
            </w:r>
            <w:r>
              <w:rPr>
                <w:bCs/>
                <w:b/>
              </w:rPr>
              <w:t xml:space="preserve">@uifce_un</w:t>
            </w:r>
          </w:p>
        </w:tc>
        <w:tc>
          <w:tcPr/>
          <w:p>
            <w:pPr>
              <w:pStyle w:val="Compact"/>
              <w:jc w:val="left"/>
            </w:pPr>
            <w:r>
              <w:t xml:space="preserve">En gestión activa, con incertidumbre sobre el resultado</w:t>
            </w:r>
          </w:p>
        </w:tc>
        <w:tc>
          <w:tcPr/>
          <w:p>
            <w:pPr>
              <w:pStyle w:val="Compact"/>
              <w:jc w:val="left"/>
            </w:pPr>
            <w:r>
              <w:t xml:space="preserve">Agotar vías de recuperación ante Meta; si no funciona en 2-3 semanas, crear cuenta nueva y oficializarla</w:t>
            </w:r>
          </w:p>
        </w:tc>
      </w:tr>
      <w:tr>
        <w:tc>
          <w:tcPr/>
          <w:p>
            <w:pPr>
              <w:pStyle w:val="Compact"/>
              <w:jc w:val="left"/>
            </w:pPr>
            <w:r>
              <w:rPr>
                <w:bCs/>
                <w:b/>
              </w:rPr>
              <w:t xml:space="preserve">Extensión Solidaria</w:t>
            </w:r>
          </w:p>
        </w:tc>
        <w:tc>
          <w:tcPr/>
          <w:p>
            <w:pPr>
              <w:pStyle w:val="Compact"/>
              <w:jc w:val="left"/>
            </w:pPr>
            <w:r>
              <w:t xml:space="preserve">Propuesta técnica y cotizaciones completas desde 2025-I; aval institucional pendiente hace tres años</w:t>
            </w:r>
          </w:p>
        </w:tc>
        <w:tc>
          <w:tcPr/>
          <w:p>
            <w:pPr>
              <w:pStyle w:val="Compact"/>
              <w:jc w:val="left"/>
            </w:pPr>
            <w:r>
              <w:t xml:space="preserve">Esperar la transición de Vicedecanatura en curso, luego formalizar el presupuesto</w:t>
            </w:r>
          </w:p>
        </w:tc>
      </w:tr>
      <w:tr>
        <w:tc>
          <w:tcPr/>
          <w:p>
            <w:pPr>
              <w:pStyle w:val="Compact"/>
              <w:jc w:val="left"/>
            </w:pPr>
            <w:r>
              <w:rPr>
                <w:bCs/>
                <w:b/>
              </w:rPr>
              <w:t xml:space="preserve">Semana UIFCE — primera edición (incl. Hackatón)</w:t>
            </w:r>
          </w:p>
        </w:tc>
        <w:tc>
          <w:tcPr/>
          <w:p>
            <w:pPr>
              <w:pStyle w:val="Compact"/>
              <w:jc w:val="left"/>
            </w:pPr>
            <w:r>
              <w:t xml:space="preserve">Documento técnico, estudio de viabilidad y cronograma formulados; Hackatón ya capacitada (Bizagi) por el equipo a cargo</w:t>
            </w:r>
          </w:p>
        </w:tc>
        <w:tc>
          <w:tcPr/>
          <w:p>
            <w:pPr>
              <w:pStyle w:val="Compact"/>
              <w:jc w:val="left"/>
            </w:pPr>
            <w:r>
              <w:t xml:space="preserve">Confirmar presupuesto (CIID, Vicedecanatura de Investigación y Extensión), invitado externo a la conferencia, y convocatoria anticipada</w:t>
            </w:r>
          </w:p>
        </w:tc>
      </w:tr>
      <w:tr>
        <w:tc>
          <w:tcPr/>
          <w:p>
            <w:pPr>
              <w:pStyle w:val="Compact"/>
              <w:jc w:val="left"/>
            </w:pPr>
            <w:r>
              <w:rPr>
                <w:bCs/>
                <w:b/>
              </w:rPr>
              <w:t xml:space="preserve">Oficialización de YouTube</w:t>
            </w:r>
          </w:p>
        </w:tc>
        <w:tc>
          <w:tcPr/>
          <w:p>
            <w:pPr>
              <w:pStyle w:val="Compact"/>
              <w:jc w:val="left"/>
            </w:pPr>
            <w:r>
              <w:t xml:space="preserve">Trámite iniciado en 2025-2</w:t>
            </w:r>
          </w:p>
        </w:tc>
        <w:tc>
          <w:tcPr/>
          <w:p>
            <w:pPr>
              <w:pStyle w:val="Compact"/>
              <w:jc w:val="left"/>
            </w:pPr>
            <w:r>
              <w:t xml:space="preserve">Resolver titularidad de cuenta ante la Oficina de Medios Digitales UNAL</w:t>
            </w:r>
          </w:p>
        </w:tc>
      </w:tr>
      <w:tr>
        <w:tc>
          <w:tcPr/>
          <w:p>
            <w:pPr>
              <w:pStyle w:val="Compact"/>
              <w:jc w:val="left"/>
            </w:pPr>
            <w:r>
              <w:rPr>
                <w:bCs/>
                <w:b/>
              </w:rPr>
              <w:t xml:space="preserve">Blog UIFCE</w:t>
            </w:r>
          </w:p>
        </w:tc>
        <w:tc>
          <w:tcPr/>
          <w:p>
            <w:pPr>
              <w:pStyle w:val="Compact"/>
              <w:jc w:val="left"/>
            </w:pPr>
            <w:r>
              <w:t xml:space="preserve">Diseño completo desde 2022, nunca publicado</w:t>
            </w:r>
          </w:p>
        </w:tc>
        <w:tc>
          <w:tcPr/>
          <w:p>
            <w:pPr>
              <w:pStyle w:val="Compact"/>
              <w:jc w:val="left"/>
            </w:pPr>
            <w:r>
              <w:t xml:space="preserve">Definir si la publicación corresponde a ET o a Gestión del Conocimiento (GC), y ejecutarla</w:t>
            </w:r>
          </w:p>
        </w:tc>
      </w:tr>
      <w:tr>
        <w:tc>
          <w:tcPr/>
          <w:p>
            <w:pPr>
              <w:pStyle w:val="Compact"/>
              <w:jc w:val="left"/>
            </w:pPr>
            <w:r>
              <w:rPr>
                <w:bCs/>
                <w:b/>
              </w:rPr>
              <w:t xml:space="preserve">Micrositio — enlace de fotos del equipo a LinkedIn</w:t>
            </w:r>
          </w:p>
        </w:tc>
        <w:tc>
          <w:tcPr/>
          <w:p>
            <w:pPr>
              <w:pStyle w:val="Compact"/>
              <w:jc w:val="left"/>
            </w:pPr>
            <w:r>
              <w:t xml:space="preserve">Idea propuesta y validada informalmente con Desarrollo</w:t>
            </w:r>
          </w:p>
        </w:tc>
        <w:tc>
          <w:tcPr/>
          <w:p>
            <w:pPr>
              <w:pStyle w:val="Compact"/>
              <w:jc w:val="left"/>
            </w:pPr>
            <w:r>
              <w:t xml:space="preserve">Confirmación técnica formal de Desarrollo</w:t>
            </w:r>
          </w:p>
        </w:tc>
      </w:tr>
      <w:tr>
        <w:tc>
          <w:tcPr/>
          <w:p>
            <w:pPr>
              <w:pStyle w:val="Compact"/>
              <w:jc w:val="left"/>
            </w:pPr>
            <w:r>
              <w:rPr>
                <w:bCs/>
                <w:b/>
              </w:rPr>
              <w:t xml:space="preserve">Repositorio documental permanente de ET + propuesta a Gestión del Conocimiento (GC)</w:t>
            </w:r>
          </w:p>
        </w:tc>
        <w:tc>
          <w:tcPr/>
          <w:p>
            <w:pPr>
              <w:pStyle w:val="Compact"/>
              <w:jc w:val="left"/>
            </w:pPr>
            <w:r>
              <w:t xml:space="preserve">Estructura de carpetas de ET ya reorganizada; propuesta formal a GC ya redactada</w:t>
            </w:r>
          </w:p>
        </w:tc>
        <w:tc>
          <w:tcPr/>
          <w:p>
            <w:pPr>
              <w:pStyle w:val="Compact"/>
              <w:jc w:val="left"/>
            </w:pPr>
            <w:r>
              <w:t xml:space="preserve">Presentar a GC, obtener aval, ejecutar migración del contenido disperso</w:t>
            </w:r>
          </w:p>
        </w:tc>
      </w:tr>
      <w:tr>
        <w:tc>
          <w:tcPr/>
          <w:p>
            <w:pPr>
              <w:pStyle w:val="Compact"/>
              <w:jc w:val="left"/>
            </w:pPr>
            <w:r>
              <w:rPr>
                <w:bCs/>
                <w:b/>
              </w:rPr>
              <w:t xml:space="preserve">Repositorio de material con IA y automatización de edición de video</w:t>
            </w:r>
          </w:p>
        </w:tc>
        <w:tc>
          <w:tcPr/>
          <w:p>
            <w:pPr>
              <w:pStyle w:val="Compact"/>
              <w:jc w:val="left"/>
            </w:pPr>
            <w:r>
              <w:t xml:space="preserve">Formulado como proyecto del portafolio 2026-2</w:t>
            </w:r>
          </w:p>
        </w:tc>
        <w:tc>
          <w:tcPr/>
          <w:p>
            <w:pPr>
              <w:pStyle w:val="Compact"/>
              <w:jc w:val="left"/>
            </w:pPr>
            <w:r>
              <w:t xml:space="preserve">Selección y adopción de herramientas concretas</w:t>
            </w:r>
          </w:p>
        </w:tc>
      </w:tr>
      <w:tr>
        <w:tc>
          <w:tcPr/>
          <w:p>
            <w:pPr>
              <w:pStyle w:val="Compact"/>
              <w:jc w:val="left"/>
            </w:pPr>
            <w:r>
              <w:rPr>
                <w:bCs/>
                <w:b/>
              </w:rPr>
              <w:t xml:space="preserve">Certificados de participación en microtalleres</w:t>
            </w:r>
          </w:p>
        </w:tc>
        <w:tc>
          <w:tcPr/>
          <w:p>
            <w:pPr>
              <w:pStyle w:val="Compact"/>
              <w:jc w:val="left"/>
            </w:pPr>
            <w:r>
              <w:t xml:space="preserve">Decidido como novedad de 2026-2, sin implementar</w:t>
            </w:r>
          </w:p>
        </w:tc>
        <w:tc>
          <w:tcPr/>
          <w:p>
            <w:pPr>
              <w:pStyle w:val="Compact"/>
              <w:jc w:val="left"/>
            </w:pPr>
            <w:r>
              <w:t xml:space="preserve">Definir plantilla y flujo de entrega desde el primer microtaller</w:t>
            </w:r>
          </w:p>
        </w:tc>
      </w:tr>
      <w:tr>
        <w:tc>
          <w:tcPr/>
          <w:p>
            <w:pPr>
              <w:pStyle w:val="Compact"/>
              <w:jc w:val="left"/>
            </w:pPr>
            <w:r>
              <w:rPr>
                <w:bCs/>
                <w:b/>
              </w:rPr>
              <w:t xml:space="preserve">Creación de la cuenta de TikTok</w:t>
            </w:r>
          </w:p>
        </w:tc>
        <w:tc>
          <w:tcPr/>
          <w:p>
            <w:pPr>
              <w:pStyle w:val="Compact"/>
              <w:jc w:val="left"/>
            </w:pPr>
            <w:r>
              <w:t xml:space="preserve">No iniciado</w:t>
            </w:r>
          </w:p>
        </w:tc>
        <w:tc>
          <w:tcPr/>
          <w:p>
            <w:pPr>
              <w:pStyle w:val="Compact"/>
              <w:jc w:val="left"/>
            </w:pPr>
            <w:r>
              <w:t xml:space="preserve">Trámite de oficialización + definición de formato propio</w:t>
            </w:r>
          </w:p>
        </w:tc>
      </w:tr>
      <w:tr>
        <w:tc>
          <w:tcPr/>
          <w:p>
            <w:pPr>
              <w:pStyle w:val="Compact"/>
              <w:jc w:val="left"/>
            </w:pPr>
            <w:r>
              <w:rPr>
                <w:bCs/>
                <w:b/>
              </w:rPr>
              <w:t xml:space="preserve">Cierre de Términos y Condiciones de ET</w:t>
            </w:r>
          </w:p>
        </w:tc>
        <w:tc>
          <w:tcPr/>
          <w:p>
            <w:pPr>
              <w:pStyle w:val="Compact"/>
              <w:jc w:val="left"/>
            </w:pPr>
            <w:r>
              <w:t xml:space="preserve">Pendiente desde 2026-1</w:t>
            </w:r>
          </w:p>
        </w:tc>
        <w:tc>
          <w:tcPr/>
          <w:p>
            <w:pPr>
              <w:pStyle w:val="Compact"/>
              <w:jc w:val="left"/>
            </w:pPr>
            <w:r>
              <w:t xml:space="preserve">Redactar y presentar a Coordinación para aval</w:t>
            </w:r>
          </w:p>
        </w:tc>
      </w:tr>
    </w:tbl>
    <w:p>
      <w:r>
        <w:pict>
          <v:rect style="width:0;height:1.5pt" o:hralign="center" o:hrstd="t" o:hr="t"/>
        </w:pict>
      </w:r>
    </w:p>
    <w:bookmarkEnd w:id="38"/>
    <w:bookmarkStart w:id="39" w:name="recomendaciones"/>
    <w:p>
      <w:pPr>
        <w:pStyle w:val="Heading1"/>
      </w:pPr>
      <w:r>
        <w:t xml:space="preserve">4. Recomendaciones</w:t>
      </w:r>
    </w:p>
    <w:p>
      <w:pPr>
        <w:pStyle w:val="FirstParagraph"/>
      </w:pPr>
      <w:r>
        <w:t xml:space="preserve">Estas recomendaciones ya están traducidas, una a una, en</w:t>
      </w:r>
      <w:r>
        <w:t xml:space="preserve"> </w:t>
      </w:r>
      <w:r>
        <w:rPr>
          <w:rStyle w:val="VerbatimChar"/>
        </w:rPr>
        <w:t xml:space="preserve">Estrategias Tecnológicas-Planeación 2026-2.xlsx</w:t>
      </w:r>
      <w:r>
        <w:t xml:space="preserve"> </w:t>
      </w:r>
      <w:r>
        <w:t xml:space="preserve">(columna</w:t>
      </w:r>
      <w:r>
        <w:t xml:space="preserve"> </w:t>
      </w:r>
      <w:r>
        <w:t xml:space="preserve">“</w:t>
      </w:r>
      <w:r>
        <w:t xml:space="preserve">Fundamento</w:t>
      </w:r>
      <w:r>
        <w:t xml:space="preserve">”</w:t>
      </w:r>
      <w:r>
        <w:t xml:space="preserve"> </w:t>
      </w:r>
      <w:r>
        <w:t xml:space="preserve">de cada línea) y desarrolladas en el Manual de Funciones y el Portafolio de Proyectos. Se agrupan aquí por tipo de intervención, no por urgencia — la Planeación ya marca cuáles son prioritarias/críticas.</w:t>
      </w:r>
    </w:p>
    <w:p>
      <w:pPr>
        <w:pStyle w:val="BodyText"/>
      </w:pPr>
      <w:r>
        <w:rPr>
          <w:bCs/>
          <w:b/>
        </w:rPr>
        <w:t xml:space="preserve">Gobernanza y continuidad.</w:t>
      </w:r>
      <w:r>
        <w:t xml:space="preserve"> </w:t>
      </w:r>
      <w:r>
        <w:t xml:space="preserve">Adoptar formalmente</w:t>
      </w:r>
      <w:r>
        <w:t xml:space="preserve"> </w:t>
      </w:r>
      <w:r>
        <w:t xml:space="preserve">“</w:t>
      </w:r>
      <w:r>
        <w:t xml:space="preserve">calidad sobre cantidad</w:t>
      </w:r>
      <w:r>
        <w:t xml:space="preserve">”</w:t>
      </w:r>
      <w:r>
        <w:t xml:space="preserve"> </w:t>
      </w:r>
      <w:r>
        <w:t xml:space="preserve">como principio del semestre, para frenar la tendencia estructural a la sobrecarga (2.1). Cerrar los Términos y Condiciones de ET (2.10). Presentar a Gestión del Conocimiento la propuesta de repositorio documental permanente, separando contenido vigente de contenido histórico y usando accesos directos en lugar de copias (2.5).</w:t>
      </w:r>
    </w:p>
    <w:p>
      <w:pPr>
        <w:pStyle w:val="BodyText"/>
      </w:pPr>
      <w:r>
        <w:rPr>
          <w:bCs/>
          <w:b/>
        </w:rPr>
        <w:t xml:space="preserve">Canales y comunicación.</w:t>
      </w:r>
      <w:r>
        <w:t xml:space="preserve"> </w:t>
      </w:r>
      <w:r>
        <w:t xml:space="preserve">Tratar la recuperación/recreación de Instagram como prioridad crítica, con fecha límite explícita antes de escalar a una cuenta nueva. Declarar LinkedIn como canal prioritario y evaluar la migración a cuenta empresa. Crear TikTok con un formato propio, no una réplica de Instagram, complementado con difusión presencial. Cerrar la oficialización de YouTube.</w:t>
      </w:r>
    </w:p>
    <w:p>
      <w:pPr>
        <w:pStyle w:val="BodyText"/>
      </w:pPr>
      <w:r>
        <w:rPr>
          <w:bCs/>
          <w:b/>
        </w:rPr>
        <w:t xml:space="preserve">Eventos y formación.</w:t>
      </w:r>
      <w:r>
        <w:t xml:space="preserve"> </w:t>
      </w:r>
      <w:r>
        <w:t xml:space="preserve">Limitar los microtalleres a un máximo de 5 por semestre, priorizando asistencia efectiva sobre volumen, e implementar certificados de participación desde el primero. Asegurar la convocatoria anticipada de la Hackatón y activar una Red de Aliados Académicos que no dependa de reconstruirse cada semestre. Formalizar con anticipación los contactos de presupuesto (CIID, Vicedecanatura de Investigación y Extensión) en vez de retomarlos cada semestre desde cero.</w:t>
      </w:r>
    </w:p>
    <w:p>
      <w:pPr>
        <w:pStyle w:val="BodyText"/>
      </w:pPr>
      <w:r>
        <w:rPr>
          <w:bCs/>
          <w:b/>
        </w:rPr>
        <w:t xml:space="preserve">Recursos y sostenibilidad operativa.</w:t>
      </w:r>
      <w:r>
        <w:t xml:space="preserve"> </w:t>
      </w:r>
      <w:r>
        <w:t xml:space="preserve">Verificar y, de ser necesario, gestionar formalmente licencias institucionales de software de diseño/edición. Adoptar IA como palanca operativa concreta —repositorio de material clasificado y automatización de tareas repetitivas de edición— para sostener la calidad del contenido sin aumentar la carga del único monitor de artes. Gestionar con Coordinación una negociación formal de franjas horarias de sala para mitigar la restricción estructural de espacio físico.</w:t>
      </w:r>
    </w:p>
    <w:p>
      <w:pPr>
        <w:pStyle w:val="BodyText"/>
      </w:pPr>
      <w:r>
        <w:rPr>
          <w:bCs/>
          <w:b/>
        </w:rPr>
        <w:t xml:space="preserve">Gestión externa a ET (fuera de su control directo, pero que la afecta).</w:t>
      </w:r>
      <w:r>
        <w:t xml:space="preserve"> </w:t>
      </w:r>
      <w:r>
        <w:t xml:space="preserve">La fricción de tiempos con Cursos Libres y la lentitud de los trámites de presupuesto con otras Vicedecanaturas no se resuelven solo desde ET: ambas deberían quedar explícitamente documentadas en el Plan de Acompañamiento Interárea como puntos de fricción conocidos, para que la conversación con esas áreas parta de un diagnóstico compartido y no de la fricción puntual de cada semestre.</w:t>
      </w:r>
    </w:p>
    <w:p>
      <w:r>
        <w:pict>
          <v:rect style="width:0;height:1.5pt" o:hralign="center" o:hrstd="t" o:hr="t"/>
        </w:pict>
      </w:r>
    </w:p>
    <w:bookmarkEnd w:id="39"/>
    <w:bookmarkStart w:id="40" w:name="X7571e97ad06c4e7a5c8d84a7d478c725dc748f8"/>
    <w:p>
      <w:pPr>
        <w:pStyle w:val="Heading1"/>
      </w:pPr>
      <w:r>
        <w:t xml:space="preserve">5. Estado de este diagnóstico y próximos pasos</w:t>
      </w:r>
    </w:p>
    <w:p>
      <w:pPr>
        <w:pStyle w:val="FirstParagraph"/>
      </w:pPr>
      <w:r>
        <w:t xml:space="preserve">Este diagnóstico incorpora ya las ocho fuentes listadas en 1.1, incluida la transcripción completa de la reunión de empalme. No quedan preguntas abiertas de insumo: la denominación institucional (UIFCE/FCE), la fuente de necesidades de otras áreas (Guía de Empalme) y el contenido de la reunión de empalme ya están resueltos e integrados. Los próximos pasos son de ejecución, no de diagnóstico: avanzar la Planeación 2026-2, presentar la propuesta de repositorio permanente a Gestión del Conocimiento, y completar la migración del contexto del proyecto al repositorio de GitHub ya preparado.</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Inicial Detallado — Área de Estrategias Tecnológicas (ET)</dc:title>
  <dc:creator>UIFCE — Unidad de Informática, Facultad de Ciencias Económicas, UNAL</dc:creator>
  <cp:keywords/>
  <dcterms:created xsi:type="dcterms:W3CDTF">2026-08-21T01:59:07Z</dcterms:created>
  <dcterms:modified xsi:type="dcterms:W3CDTF">2026-08-21T01:59:07Z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Insumo para la Planeación 2026-2</vt:lpwstr>
  </property>
</Properties>
</file>