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67D6" w14:textId="5F965A0D" w:rsidR="004C0C19" w:rsidRDefault="004C0C19" w:rsidP="004C0C19">
      <w:pPr>
        <w:pStyle w:val="Heading1"/>
        <w:pBdr>
          <w:top w:val="single" w:sz="4" w:space="1" w:color="auto"/>
        </w:pBdr>
      </w:pPr>
      <w:r>
        <w:t>S</w:t>
      </w:r>
      <w:r w:rsidR="000F7FF0">
        <w:t>ection 5.1</w:t>
      </w:r>
      <w:r>
        <w:t xml:space="preserve">: </w:t>
      </w:r>
      <w:r w:rsidR="00451629">
        <w:t>A</w:t>
      </w:r>
      <w:r w:rsidR="000F7FF0">
        <w:t>pproximating Areas</w:t>
      </w:r>
    </w:p>
    <w:p w14:paraId="70E57293" w14:textId="3FCF7FC1" w:rsidR="006B58C8" w:rsidRDefault="006B58C8" w:rsidP="006B58C8">
      <w:pPr>
        <w:pStyle w:val="Heading2"/>
        <w:rPr>
          <w:rFonts w:eastAsiaTheme="minorEastAsia"/>
        </w:rPr>
      </w:pPr>
      <w:r>
        <w:rPr>
          <w:rFonts w:eastAsiaTheme="minorEastAsia"/>
        </w:rPr>
        <w:t>Sigma (Summation) Notation</w:t>
      </w:r>
    </w:p>
    <w:p w14:paraId="1664EBE1" w14:textId="13A20F92" w:rsidR="006B58C8" w:rsidRDefault="004B6322" w:rsidP="006B58C8">
      <w:r>
        <w:t xml:space="preserve">One method to approximate area under the curve is to use shapes of known area (namely, rectangles). This process often requires adding up long strings of numbers. To make it easier to write down these lengthy sums, we look at some new notation. </w:t>
      </w:r>
    </w:p>
    <w:p w14:paraId="4B3C0198" w14:textId="6B20F7E1" w:rsidR="004B6322" w:rsidRDefault="004B6322" w:rsidP="004B6322">
      <w:pPr>
        <w:pStyle w:val="Quote"/>
      </w:pPr>
      <w:r w:rsidRPr="004B6322">
        <w:rPr>
          <w:rStyle w:val="Strong"/>
        </w:rPr>
        <w:t>Sigma notation</w:t>
      </w:r>
      <w:r>
        <w:t xml:space="preserve"> (also known as </w:t>
      </w:r>
      <w:r w:rsidRPr="004B6322">
        <w:rPr>
          <w:rStyle w:val="Strong"/>
        </w:rPr>
        <w:t>summation notation</w:t>
      </w:r>
      <w:r>
        <w:t xml:space="preserve">) is presented in the form </w:t>
      </w:r>
    </w:p>
    <w:p w14:paraId="6AD2648D" w14:textId="3111D595" w:rsidR="004B6322" w:rsidRDefault="005C4281" w:rsidP="00EC12C0">
      <w:pPr>
        <w:pStyle w:val="Quote"/>
        <w:jc w:val="center"/>
        <w:rPr>
          <w:rFonts w:eastAsiaTheme="minorEastAsia"/>
        </w:rPr>
      </w:pPr>
      <m:oMath>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n</m:t>
            </m:r>
          </m:sup>
          <m:e>
            <m:sSub>
              <m:sSubPr>
                <m:ctrlPr>
                  <w:rPr>
                    <w:rFonts w:ascii="Cambria Math" w:hAnsi="Cambria Math"/>
                    <w:i/>
                    <w:noProof w:val="0"/>
                  </w:rPr>
                </m:ctrlPr>
              </m:sSubPr>
              <m:e>
                <m:r>
                  <w:rPr>
                    <w:rFonts w:ascii="Cambria Math" w:hAnsi="Cambria Math"/>
                  </w:rPr>
                  <m:t>a</m:t>
                </m:r>
              </m:e>
              <m:sub>
                <m:r>
                  <w:rPr>
                    <w:rFonts w:ascii="Cambria Math" w:hAnsi="Cambria Math"/>
                  </w:rPr>
                  <m:t>i</m:t>
                </m:r>
              </m:sub>
            </m:sSub>
          </m:e>
        </m:nary>
      </m:oMath>
      <w:r w:rsidR="00EC12C0">
        <w:rPr>
          <w:rFonts w:eastAsiaTheme="minorEastAsia"/>
        </w:rPr>
        <w:t xml:space="preserve"> </w:t>
      </w:r>
    </w:p>
    <w:p w14:paraId="433270B9" w14:textId="495267E4" w:rsidR="004B6322" w:rsidRDefault="004B6322" w:rsidP="004B6322">
      <w:pPr>
        <w:pStyle w:val="Quote"/>
        <w:rPr>
          <w:rFonts w:eastAsiaTheme="minorEastAsia"/>
        </w:rPr>
      </w:pPr>
      <w:r>
        <w:rPr>
          <w:rFonts w:eastAsiaTheme="minorEastAsia"/>
        </w:rPr>
        <w:t xml:space="preserve">Where </w:t>
      </w:r>
      <m:oMath>
        <m:sSub>
          <m:sSubPr>
            <m:ctrlPr>
              <w:rPr>
                <w:rFonts w:ascii="Cambria Math" w:eastAsiaTheme="minorEastAsia" w:hAnsi="Cambria Math"/>
                <w:i/>
                <w:noProof w:val="0"/>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describes the terms to be added, and the </w:t>
      </w:r>
      <m:oMath>
        <m:r>
          <w:rPr>
            <w:rFonts w:ascii="Cambria Math" w:eastAsiaTheme="minorEastAsia" w:hAnsi="Cambria Math"/>
          </w:rPr>
          <m:t>i</m:t>
        </m:r>
      </m:oMath>
      <w:r>
        <w:rPr>
          <w:rFonts w:eastAsiaTheme="minorEastAsia"/>
        </w:rPr>
        <w:t xml:space="preserve"> is called the index. Each term is evaluated, then we sum all the vales, beginning with the value when </w:t>
      </w:r>
      <m:oMath>
        <m:r>
          <w:rPr>
            <w:rFonts w:ascii="Cambria Math" w:eastAsiaTheme="minorEastAsia" w:hAnsi="Cambria Math"/>
          </w:rPr>
          <m:t>i=1</m:t>
        </m:r>
      </m:oMath>
      <w:r>
        <w:rPr>
          <w:rFonts w:eastAsiaTheme="minorEastAsia"/>
        </w:rPr>
        <w:t xml:space="preserve"> and ending with the value when </w:t>
      </w:r>
      <m:oMath>
        <m:r>
          <w:rPr>
            <w:rFonts w:ascii="Cambria Math" w:eastAsiaTheme="minorEastAsia" w:hAnsi="Cambria Math"/>
          </w:rPr>
          <m:t>i=n</m:t>
        </m:r>
      </m:oMath>
      <w:r>
        <w:rPr>
          <w:rFonts w:eastAsiaTheme="minorEastAsia"/>
        </w:rPr>
        <w:t>.</w:t>
      </w:r>
    </w:p>
    <w:p w14:paraId="63B08954" w14:textId="5CF90C84" w:rsidR="00CA0321" w:rsidRDefault="00CA0321" w:rsidP="00CA0321">
      <w:r>
        <w:rPr>
          <w:rStyle w:val="IntenseEmphasis"/>
        </w:rPr>
        <w:t xml:space="preserve">Media: </w:t>
      </w:r>
      <w:r w:rsidRPr="00632F9C">
        <w:t>Watch thi</w:t>
      </w:r>
      <w:r w:rsidR="00B1462C">
        <w:t xml:space="preserve">s </w:t>
      </w:r>
      <w:hyperlink r:id="rId10" w:tooltip="video example" w:history="1">
        <w:r w:rsidR="00B1462C" w:rsidRPr="0012158A">
          <w:rPr>
            <w:rStyle w:val="Hyperlink"/>
          </w:rPr>
          <w:t>video</w:t>
        </w:r>
      </w:hyperlink>
      <w:r w:rsidR="00B1462C">
        <w:t xml:space="preserve"> </w:t>
      </w:r>
      <w:r w:rsidRPr="00632F9C">
        <w:t>example on</w:t>
      </w:r>
      <w:r w:rsidR="00B1462C">
        <w:t xml:space="preserve"> summations in sigma notation</w:t>
      </w:r>
      <w:r w:rsidRPr="00632F9C">
        <w:t>.</w:t>
      </w:r>
    </w:p>
    <w:p w14:paraId="79688159" w14:textId="528E838F" w:rsidR="004B6322" w:rsidRPr="004B6322" w:rsidRDefault="004B6322" w:rsidP="006B58C8">
      <w:pPr>
        <w:rPr>
          <w:rStyle w:val="IntenseEmphasis"/>
        </w:rPr>
      </w:pPr>
      <w:r w:rsidRPr="004B6322">
        <w:rPr>
          <w:rStyle w:val="IntenseEmphasis"/>
        </w:rPr>
        <w:t>Examples</w:t>
      </w:r>
    </w:p>
    <w:p w14:paraId="4059D858" w14:textId="7525D9FD" w:rsidR="004B6322" w:rsidRDefault="004B6322" w:rsidP="00D96878">
      <w:pPr>
        <w:pStyle w:val="ListParagraph"/>
        <w:numPr>
          <w:ilvl w:val="0"/>
          <w:numId w:val="38"/>
        </w:numPr>
        <w:spacing w:after="1200"/>
        <w:contextualSpacing w:val="0"/>
        <w:rPr>
          <w:rFonts w:eastAsiaTheme="minorEastAsia"/>
        </w:rPr>
      </w:pPr>
      <w:r>
        <w:rPr>
          <w:rFonts w:eastAsiaTheme="minorEastAsia"/>
        </w:rPr>
        <w:t xml:space="preserve">Write in sigma notation and evaluate the sum of terms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i</m:t>
            </m:r>
          </m:sup>
        </m:sSup>
      </m:oMath>
      <w:r>
        <w:rPr>
          <w:rFonts w:eastAsiaTheme="minorEastAsia"/>
        </w:rPr>
        <w:t xml:space="preserve"> for </w:t>
      </w:r>
      <m:oMath>
        <m:r>
          <w:rPr>
            <w:rFonts w:ascii="Cambria Math" w:eastAsiaTheme="minorEastAsia" w:hAnsi="Cambria Math"/>
          </w:rPr>
          <m:t>i=1, 2, 3, 4,5</m:t>
        </m:r>
      </m:oMath>
      <w:r>
        <w:rPr>
          <w:rFonts w:eastAsiaTheme="minorEastAsia"/>
        </w:rPr>
        <w:t>.</w:t>
      </w:r>
    </w:p>
    <w:p w14:paraId="4828C34F" w14:textId="5DE25837" w:rsidR="004B6322" w:rsidRPr="004B6322" w:rsidRDefault="004B6322" w:rsidP="00D96878">
      <w:pPr>
        <w:pStyle w:val="ListParagraph"/>
        <w:numPr>
          <w:ilvl w:val="0"/>
          <w:numId w:val="38"/>
        </w:numPr>
        <w:spacing w:after="1200"/>
        <w:contextualSpacing w:val="0"/>
        <w:rPr>
          <w:rFonts w:eastAsiaTheme="minorEastAsia"/>
        </w:rPr>
      </w:pPr>
      <w:r>
        <w:rPr>
          <w:rFonts w:eastAsiaTheme="minorEastAsia"/>
        </w:rPr>
        <w:t xml:space="preserve">Write the sum in sigma notation: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w:t>
      </w:r>
    </w:p>
    <w:p w14:paraId="0B0CB952" w14:textId="0C9A86AC" w:rsidR="004B6322" w:rsidRPr="00B4684B" w:rsidRDefault="004B6322" w:rsidP="00D72013">
      <w:pPr>
        <w:rPr>
          <w:rStyle w:val="Strong"/>
        </w:rPr>
      </w:pPr>
      <w:r w:rsidRPr="00B4684B">
        <w:rPr>
          <w:rStyle w:val="Strong"/>
        </w:rPr>
        <w:t>Properties of Sigma Notation</w:t>
      </w:r>
    </w:p>
    <w:p w14:paraId="1F2D1A67" w14:textId="13D18246" w:rsidR="004B6322" w:rsidRDefault="004B6322" w:rsidP="00D72013">
      <w:pPr>
        <w:rPr>
          <w:rFonts w:eastAsiaTheme="minorEastAsia"/>
        </w:rPr>
      </w:pPr>
      <w:r>
        <w:t xml:space="preserve">Let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eastAsiaTheme="minorEastAsia"/>
        </w:rPr>
        <w:t xml:space="preserve"> represent two sequences of terms and let </w:t>
      </w:r>
      <m:oMath>
        <m:r>
          <w:rPr>
            <w:rFonts w:ascii="Cambria Math" w:eastAsiaTheme="minorEastAsia" w:hAnsi="Cambria Math"/>
          </w:rPr>
          <m:t>c</m:t>
        </m:r>
      </m:oMath>
      <w:r>
        <w:rPr>
          <w:rFonts w:eastAsiaTheme="minorEastAsia"/>
        </w:rPr>
        <w:t xml:space="preserve"> be a constant. The following properties hold for all positive integers </w:t>
      </w:r>
      <m:oMath>
        <m:r>
          <w:rPr>
            <w:rFonts w:ascii="Cambria Math" w:eastAsiaTheme="minorEastAsia" w:hAnsi="Cambria Math"/>
          </w:rPr>
          <m:t>n</m:t>
        </m:r>
      </m:oMath>
      <w:r>
        <w:rPr>
          <w:rFonts w:eastAsiaTheme="minorEastAsia"/>
        </w:rPr>
        <w:t xml:space="preserve"> and for integers </w:t>
      </w:r>
      <m:oMath>
        <m:r>
          <w:rPr>
            <w:rFonts w:ascii="Cambria Math" w:eastAsiaTheme="minorEastAsia" w:hAnsi="Cambria Math"/>
          </w:rPr>
          <m:t>m</m:t>
        </m:r>
      </m:oMath>
      <w:r>
        <w:rPr>
          <w:rFonts w:eastAsiaTheme="minorEastAsia"/>
        </w:rPr>
        <w:t xml:space="preserve">, with </w:t>
      </w:r>
      <m:oMath>
        <m:r>
          <w:rPr>
            <w:rFonts w:ascii="Cambria Math" w:eastAsiaTheme="minorEastAsia" w:hAnsi="Cambria Math"/>
          </w:rPr>
          <m:t>1≤m≤n</m:t>
        </m:r>
      </m:oMath>
      <w:r>
        <w:rPr>
          <w:rFonts w:eastAsiaTheme="minorEastAsia"/>
        </w:rPr>
        <w:t>.</w:t>
      </w:r>
    </w:p>
    <w:p w14:paraId="31FD291B" w14:textId="1474605D" w:rsidR="00B4684B" w:rsidRDefault="005C4281" w:rsidP="00D72013">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e>
          </m:nary>
          <m:r>
            <w:rPr>
              <w:rFonts w:ascii="Cambria Math" w:hAnsi="Cambria Math"/>
            </w:rPr>
            <m:t>=nc</m:t>
          </m:r>
        </m:oMath>
      </m:oMathPara>
    </w:p>
    <w:p w14:paraId="282E231D" w14:textId="5B38BE80" w:rsidR="00B4684B" w:rsidRDefault="005C4281" w:rsidP="00D72013">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468FEF32" w14:textId="2B8B7C37" w:rsidR="00B4684B" w:rsidRDefault="005C4281" w:rsidP="00D72013">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p w14:paraId="40D0C8D5" w14:textId="00A73DC2" w:rsidR="00B4684B" w:rsidRDefault="005C4281" w:rsidP="00D72013">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p w14:paraId="07135A2E" w14:textId="5DAD4360" w:rsidR="00B4684B" w:rsidRPr="00B4684B" w:rsidRDefault="005C4281" w:rsidP="00D72013">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i=m+1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73C27148" w14:textId="71094EEF" w:rsidR="00B4684B" w:rsidRDefault="00C85BDC" w:rsidP="00B4684B">
      <w:pPr>
        <w:rPr>
          <w:rFonts w:eastAsiaTheme="minorEastAsia"/>
        </w:rPr>
      </w:pPr>
      <w:r>
        <w:rPr>
          <w:rFonts w:eastAsiaTheme="minorEastAsia"/>
        </w:rPr>
        <w:t>A few more formulas for frequently found functions simplify the summation process further. These are shown in the next rule, for sums and powers of integers.</w:t>
      </w:r>
    </w:p>
    <w:p w14:paraId="0D262349" w14:textId="34D259F6" w:rsidR="00C85BDC" w:rsidRPr="00C85BDC" w:rsidRDefault="00C85BDC" w:rsidP="0054548D">
      <w:pPr>
        <w:rPr>
          <w:rStyle w:val="Strong"/>
        </w:rPr>
      </w:pPr>
      <w:r w:rsidRPr="00C85BDC">
        <w:rPr>
          <w:rStyle w:val="Strong"/>
        </w:rPr>
        <w:t>Sums and Powers of Integers</w:t>
      </w:r>
    </w:p>
    <w:p w14:paraId="04D213DA" w14:textId="31BA30BB" w:rsidR="00C85BDC" w:rsidRDefault="00C85BDC" w:rsidP="0054548D">
      <w:pPr>
        <w:pStyle w:val="ListParagraph"/>
        <w:numPr>
          <w:ilvl w:val="0"/>
          <w:numId w:val="45"/>
        </w:numPr>
      </w:pPr>
      <w:r>
        <w:t xml:space="preserve">The sum of </w:t>
      </w:r>
      <m:oMath>
        <m:r>
          <w:rPr>
            <w:rFonts w:ascii="Cambria Math" w:hAnsi="Cambria Math"/>
          </w:rPr>
          <m:t>n</m:t>
        </m:r>
      </m:oMath>
      <w:r>
        <w:t xml:space="preserve"> integers is given by</w:t>
      </w:r>
    </w:p>
    <w:p w14:paraId="09C3F5F1" w14:textId="7A2F2F28" w:rsidR="00C85BDC" w:rsidRDefault="005C4281" w:rsidP="0054548D">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=1+2+…+n=</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7F310B23" w14:textId="1FCB90FA" w:rsidR="00C85BDC" w:rsidRDefault="00C85BDC" w:rsidP="0054548D">
      <w:pPr>
        <w:pStyle w:val="ListParagraph"/>
        <w:numPr>
          <w:ilvl w:val="0"/>
          <w:numId w:val="45"/>
        </w:numPr>
      </w:pPr>
      <w:r>
        <w:t>The sum of consecutive integers squared is given by</w:t>
      </w:r>
    </w:p>
    <w:p w14:paraId="1CA86001" w14:textId="77777777" w:rsidR="00C85BDC" w:rsidRDefault="00C85BDC" w:rsidP="0054548D"/>
    <w:p w14:paraId="3F213D61" w14:textId="7ED23204" w:rsidR="00C85BDC" w:rsidRPr="00C85BDC" w:rsidRDefault="005C4281" w:rsidP="0054548D">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n(n+1)(2n+1)</m:t>
              </m:r>
            </m:num>
            <m:den>
              <m:r>
                <w:rPr>
                  <w:rFonts w:ascii="Cambria Math" w:hAnsi="Cambria Math"/>
                </w:rPr>
                <m:t>6</m:t>
              </m:r>
            </m:den>
          </m:f>
        </m:oMath>
      </m:oMathPara>
    </w:p>
    <w:p w14:paraId="60D5CAA0" w14:textId="77777777" w:rsidR="00C85BDC" w:rsidRPr="00C85BDC" w:rsidRDefault="00C85BDC" w:rsidP="0054548D"/>
    <w:p w14:paraId="1D2E8AB4" w14:textId="3BE9A978" w:rsidR="00C85BDC" w:rsidRDefault="00C85BDC" w:rsidP="0054548D">
      <w:pPr>
        <w:pStyle w:val="ListParagraph"/>
        <w:numPr>
          <w:ilvl w:val="0"/>
          <w:numId w:val="45"/>
        </w:numPr>
      </w:pPr>
      <w:r>
        <w:t>The sum of consecutive integers cubed is given by</w:t>
      </w:r>
    </w:p>
    <w:p w14:paraId="7F95FAE6" w14:textId="5E7ACA54" w:rsidR="00C85BDC" w:rsidRPr="00C85BDC" w:rsidRDefault="005C4281" w:rsidP="0054548D">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3</m:t>
                  </m:r>
                </m:sup>
              </m:sSup>
            </m:e>
          </m:nary>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num>
            <m:den>
              <m:r>
                <w:rPr>
                  <w:rFonts w:ascii="Cambria Math" w:hAnsi="Cambria Math"/>
                </w:rPr>
                <m:t>4</m:t>
              </m:r>
            </m:den>
          </m:f>
        </m:oMath>
      </m:oMathPara>
    </w:p>
    <w:p w14:paraId="069144A5" w14:textId="2AF9C124" w:rsidR="00CA0321" w:rsidRDefault="00CA0321" w:rsidP="00CA0321">
      <w:r>
        <w:rPr>
          <w:rStyle w:val="IntenseEmphasis"/>
        </w:rPr>
        <w:t xml:space="preserve">Media: </w:t>
      </w:r>
      <w:r w:rsidRPr="00632F9C">
        <w:t xml:space="preserve">Watch this </w:t>
      </w:r>
      <w:hyperlink r:id="rId11" w:tooltip="video example" w:history="1">
        <w:r w:rsidR="0012158A" w:rsidRPr="00A64685">
          <w:rPr>
            <w:rStyle w:val="Hyperlink"/>
          </w:rPr>
          <w:t>video</w:t>
        </w:r>
      </w:hyperlink>
      <w:r w:rsidR="0012158A">
        <w:t xml:space="preserve"> </w:t>
      </w:r>
      <w:r w:rsidRPr="00632F9C">
        <w:t xml:space="preserve">example on </w:t>
      </w:r>
      <w:r w:rsidR="0012158A">
        <w:t>summation formulas</w:t>
      </w:r>
      <w:r w:rsidRPr="00632F9C">
        <w:t>.</w:t>
      </w:r>
    </w:p>
    <w:p w14:paraId="2F619F67" w14:textId="702D3769" w:rsidR="00C85BDC" w:rsidRPr="00921A22" w:rsidRDefault="00C85BDC" w:rsidP="00C85BDC">
      <w:pPr>
        <w:rPr>
          <w:rStyle w:val="IntenseEmphasis"/>
        </w:rPr>
      </w:pPr>
      <w:r w:rsidRPr="00921A22">
        <w:rPr>
          <w:rStyle w:val="IntenseEmphasis"/>
        </w:rPr>
        <w:t>Examples</w:t>
      </w:r>
    </w:p>
    <w:p w14:paraId="11B3B567" w14:textId="6D918046" w:rsidR="00C85BDC" w:rsidRDefault="00C85BDC" w:rsidP="001C44BA">
      <w:pPr>
        <w:pStyle w:val="ListParagraph"/>
        <w:numPr>
          <w:ilvl w:val="0"/>
          <w:numId w:val="41"/>
        </w:numPr>
        <w:contextualSpacing w:val="0"/>
        <w:rPr>
          <w:rFonts w:eastAsiaTheme="minorEastAsia"/>
        </w:rPr>
      </w:pPr>
      <w:r>
        <w:rPr>
          <w:rFonts w:eastAsiaTheme="minorEastAsia"/>
        </w:rPr>
        <w:t>Write using sigma notation and evaluate:</w:t>
      </w:r>
    </w:p>
    <w:p w14:paraId="01F2DD44" w14:textId="5B672568" w:rsidR="00C85BDC" w:rsidRDefault="00C85BDC" w:rsidP="001C44BA">
      <w:pPr>
        <w:pStyle w:val="ListParagraph"/>
        <w:numPr>
          <w:ilvl w:val="1"/>
          <w:numId w:val="41"/>
        </w:numPr>
        <w:spacing w:after="1680"/>
        <w:contextualSpacing w:val="0"/>
        <w:rPr>
          <w:rFonts w:eastAsiaTheme="minorEastAsia"/>
        </w:rPr>
      </w:pPr>
      <w:r>
        <w:rPr>
          <w:rFonts w:eastAsiaTheme="minorEastAsia"/>
        </w:rPr>
        <w:t xml:space="preserve">The sum of the terms </w:t>
      </w:r>
      <m:oMath>
        <m:sSup>
          <m:sSupPr>
            <m:ctrlPr>
              <w:rPr>
                <w:rFonts w:ascii="Cambria Math" w:eastAsiaTheme="minorEastAsia" w:hAnsi="Cambria Math"/>
                <w:i/>
              </w:rPr>
            </m:ctrlPr>
          </m:sSupPr>
          <m:e>
            <m:r>
              <w:rPr>
                <w:rFonts w:ascii="Cambria Math" w:eastAsiaTheme="minorEastAsia" w:hAnsi="Cambria Math"/>
              </w:rPr>
              <m:t>(i-3)</m:t>
            </m:r>
          </m:e>
          <m:sup>
            <m:r>
              <w:rPr>
                <w:rFonts w:ascii="Cambria Math" w:eastAsiaTheme="minorEastAsia" w:hAnsi="Cambria Math"/>
              </w:rPr>
              <m:t>2</m:t>
            </m:r>
          </m:sup>
        </m:sSup>
      </m:oMath>
      <w:r w:rsidR="00921A22">
        <w:rPr>
          <w:rFonts w:eastAsiaTheme="minorEastAsia"/>
        </w:rPr>
        <w:t xml:space="preserve"> for </w:t>
      </w:r>
      <m:oMath>
        <m:r>
          <w:rPr>
            <w:rFonts w:ascii="Cambria Math" w:eastAsiaTheme="minorEastAsia" w:hAnsi="Cambria Math"/>
          </w:rPr>
          <m:t>i=1, 2,…,200</m:t>
        </m:r>
      </m:oMath>
      <w:r w:rsidR="00921A22">
        <w:rPr>
          <w:rFonts w:eastAsiaTheme="minorEastAsia"/>
        </w:rPr>
        <w:t>.</w:t>
      </w:r>
    </w:p>
    <w:p w14:paraId="10A4651C" w14:textId="12396A0E" w:rsidR="00921A22" w:rsidRDefault="00921A22" w:rsidP="001C44BA">
      <w:pPr>
        <w:pStyle w:val="ListParagraph"/>
        <w:numPr>
          <w:ilvl w:val="1"/>
          <w:numId w:val="41"/>
        </w:numPr>
        <w:spacing w:after="1680"/>
        <w:contextualSpacing w:val="0"/>
        <w:rPr>
          <w:rFonts w:eastAsiaTheme="minorEastAsia"/>
        </w:rPr>
      </w:pPr>
      <w:r>
        <w:rPr>
          <w:rFonts w:eastAsiaTheme="minorEastAsia"/>
        </w:rPr>
        <w:t xml:space="preserve">The sum of the terms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e>
        </m:d>
      </m:oMath>
      <w:r>
        <w:rPr>
          <w:rFonts w:eastAsiaTheme="minorEastAsia"/>
        </w:rPr>
        <w:t xml:space="preserve"> for </w:t>
      </w:r>
      <m:oMath>
        <m:r>
          <w:rPr>
            <w:rFonts w:ascii="Cambria Math" w:eastAsiaTheme="minorEastAsia" w:hAnsi="Cambria Math"/>
          </w:rPr>
          <m:t>i=1, 2, 3, 4, 5, 6</m:t>
        </m:r>
      </m:oMath>
      <w:r>
        <w:rPr>
          <w:rFonts w:eastAsiaTheme="minorEastAsia"/>
        </w:rPr>
        <w:t>.</w:t>
      </w:r>
    </w:p>
    <w:p w14:paraId="3FA64858" w14:textId="5F1BE1DB" w:rsidR="00921A22" w:rsidRDefault="00921A22" w:rsidP="001C44BA">
      <w:pPr>
        <w:pStyle w:val="ListParagraph"/>
        <w:numPr>
          <w:ilvl w:val="0"/>
          <w:numId w:val="41"/>
        </w:numPr>
        <w:contextualSpacing w:val="0"/>
        <w:rPr>
          <w:rFonts w:eastAsiaTheme="minorEastAsia"/>
        </w:rPr>
      </w:pPr>
      <w:r>
        <w:rPr>
          <w:rFonts w:eastAsiaTheme="minorEastAsia"/>
        </w:rPr>
        <w:t xml:space="preserve">Find the sum of the values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over the integers </w:t>
      </w:r>
      <m:oMath>
        <m:r>
          <w:rPr>
            <w:rFonts w:ascii="Cambria Math" w:eastAsiaTheme="minorEastAsia" w:hAnsi="Cambria Math"/>
          </w:rPr>
          <m:t>1, 2, 3, …, 10</m:t>
        </m:r>
      </m:oMath>
      <w:r>
        <w:rPr>
          <w:rFonts w:eastAsiaTheme="minorEastAsia"/>
        </w:rPr>
        <w:t>.</w:t>
      </w:r>
    </w:p>
    <w:p w14:paraId="0F85FC34" w14:textId="77777777" w:rsidR="0035342D" w:rsidRDefault="0035342D">
      <w:pPr>
        <w:spacing w:line="259" w:lineRule="auto"/>
        <w:rPr>
          <w:rFonts w:eastAsiaTheme="minorEastAsia"/>
        </w:rPr>
      </w:pPr>
      <w:r>
        <w:rPr>
          <w:rFonts w:eastAsiaTheme="minorEastAsia"/>
        </w:rPr>
        <w:br w:type="page"/>
      </w:r>
    </w:p>
    <w:p w14:paraId="4BB47A01" w14:textId="4F3E485D" w:rsidR="0035342D" w:rsidRDefault="0035342D" w:rsidP="0035342D">
      <w:pPr>
        <w:pStyle w:val="Heading2"/>
        <w:rPr>
          <w:rFonts w:eastAsiaTheme="minorEastAsia"/>
        </w:rPr>
      </w:pPr>
      <w:r>
        <w:rPr>
          <w:rFonts w:eastAsiaTheme="minorEastAsia"/>
        </w:rPr>
        <w:lastRenderedPageBreak/>
        <w:t>Approximating Area</w:t>
      </w:r>
    </w:p>
    <w:p w14:paraId="236AE62A" w14:textId="093E9D1B" w:rsidR="0035342D" w:rsidRDefault="00535553" w:rsidP="0035342D">
      <w:pPr>
        <w:rPr>
          <w:rFonts w:eastAsiaTheme="minorEastAsia"/>
        </w:rPr>
      </w:pPr>
      <w:r>
        <w:rPr>
          <w:rFonts w:eastAsiaTheme="minorEastAsia"/>
        </w:rPr>
        <w:t xml:space="preserve">Let </w:t>
      </w:r>
      <m:oMath>
        <m:r>
          <w:rPr>
            <w:rFonts w:ascii="Cambria Math" w:eastAsiaTheme="minorEastAsia" w:hAnsi="Cambria Math"/>
          </w:rPr>
          <m:t>f(x)</m:t>
        </m:r>
      </m:oMath>
      <w:r>
        <w:rPr>
          <w:rFonts w:eastAsiaTheme="minorEastAsia"/>
        </w:rPr>
        <w:t xml:space="preserve"> be a continuous, nonnegative function defined on the closed interval </w:t>
      </w:r>
      <m:oMath>
        <m:r>
          <w:rPr>
            <w:rFonts w:ascii="Cambria Math" w:eastAsiaTheme="minorEastAsia" w:hAnsi="Cambria Math"/>
          </w:rPr>
          <m:t>[a,b]</m:t>
        </m:r>
      </m:oMath>
      <w:r>
        <w:rPr>
          <w:rFonts w:eastAsiaTheme="minorEastAsia"/>
        </w:rPr>
        <w:t xml:space="preserve">. </w:t>
      </w:r>
      <w:r w:rsidR="007601DE">
        <w:rPr>
          <w:rFonts w:eastAsiaTheme="minorEastAsia"/>
        </w:rPr>
        <w:t xml:space="preserve">The goal is </w:t>
      </w:r>
      <w:r>
        <w:rPr>
          <w:rFonts w:eastAsiaTheme="minorEastAsia"/>
        </w:rPr>
        <w:t xml:space="preserve">to approximate the area </w:t>
      </w:r>
      <m:oMath>
        <m:r>
          <w:rPr>
            <w:rFonts w:ascii="Cambria Math" w:eastAsiaTheme="minorEastAsia" w:hAnsi="Cambria Math"/>
          </w:rPr>
          <m:t>A</m:t>
        </m:r>
      </m:oMath>
      <w:r>
        <w:rPr>
          <w:rFonts w:eastAsiaTheme="minorEastAsia"/>
        </w:rPr>
        <w:t xml:space="preserve"> bounded by </w:t>
      </w:r>
      <m:oMath>
        <m:r>
          <w:rPr>
            <w:rFonts w:ascii="Cambria Math" w:eastAsiaTheme="minorEastAsia" w:hAnsi="Cambria Math"/>
          </w:rPr>
          <m:t>f(x)</m:t>
        </m:r>
      </m:oMath>
      <w:r>
        <w:rPr>
          <w:rFonts w:eastAsiaTheme="minorEastAsia"/>
        </w:rPr>
        <w:t xml:space="preserve"> above, the </w:t>
      </w:r>
      <m:oMath>
        <m:r>
          <w:rPr>
            <w:rFonts w:ascii="Cambria Math" w:eastAsiaTheme="minorEastAsia" w:hAnsi="Cambria Math"/>
          </w:rPr>
          <m:t>x</m:t>
        </m:r>
      </m:oMath>
      <w:r>
        <w:rPr>
          <w:rFonts w:eastAsiaTheme="minorEastAsia"/>
        </w:rPr>
        <w:t xml:space="preserve">-axis below, and the line </w:t>
      </w:r>
      <m:oMath>
        <m:r>
          <w:rPr>
            <w:rFonts w:ascii="Cambria Math" w:eastAsiaTheme="minorEastAsia" w:hAnsi="Cambria Math"/>
          </w:rPr>
          <m:t>x=a</m:t>
        </m:r>
      </m:oMath>
      <w:r>
        <w:rPr>
          <w:rFonts w:eastAsiaTheme="minorEastAsia"/>
        </w:rPr>
        <w:t xml:space="preserve"> on the left, and the line </w:t>
      </w:r>
      <m:oMath>
        <m:r>
          <w:rPr>
            <w:rFonts w:ascii="Cambria Math" w:eastAsiaTheme="minorEastAsia" w:hAnsi="Cambria Math"/>
          </w:rPr>
          <m:t>x=b</m:t>
        </m:r>
      </m:oMath>
      <w:r>
        <w:rPr>
          <w:rFonts w:eastAsiaTheme="minorEastAsia"/>
        </w:rPr>
        <w:t xml:space="preserve"> on the right, as shown in the figure below. </w:t>
      </w:r>
    </w:p>
    <w:p w14:paraId="3DCBBA67" w14:textId="7DD7EEEF" w:rsidR="00535553" w:rsidRDefault="00535553" w:rsidP="0035342D">
      <w:pPr>
        <w:rPr>
          <w:rFonts w:eastAsiaTheme="minorEastAsia"/>
        </w:rPr>
      </w:pPr>
      <w:r w:rsidRPr="00535553">
        <w:rPr>
          <w:rFonts w:eastAsiaTheme="minorEastAsia"/>
          <w:noProof/>
        </w:rPr>
        <w:drawing>
          <wp:inline distT="0" distB="0" distL="0" distR="0" wp14:anchorId="30BA5D26" wp14:editId="6E4B20C2">
            <wp:extent cx="5943600" cy="2580005"/>
            <wp:effectExtent l="0" t="0" r="0" b="0"/>
            <wp:docPr id="2" name="Picture Placeholder 1" descr="A graph in quadrant one of an area bounded by a generic curve f(x) at the top, the x-axis at the bottom, the line x = a to the left, and the line x = b to the right. About midway through, the concavity switches from concave down to concave up, and the function starts to increases shortly before the line x = 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graph in quadrant one of an area bounded by a generic curve f(x) at the top, the x-axis at the bottom, the line x = a to the left, and the line x = b to the right. About midway through, the concavity switches from concave down to concave up, and the function starts to increases shortly before the line x = b."/>
                    <pic:cNvPicPr>
                      <a:picLocks noGrp="1" noChangeAspect="1"/>
                    </pic:cNvPicPr>
                  </pic:nvPicPr>
                  <pic:blipFill>
                    <a:blip r:embed="rId12" cstate="email">
                      <a:extLst>
                        <a:ext uri="{28A0092B-C50C-407E-A947-70E740481C1C}">
                          <a14:useLocalDpi xmlns:a14="http://schemas.microsoft.com/office/drawing/2010/main" val="0"/>
                        </a:ext>
                      </a:extLst>
                    </a:blip>
                    <a:srcRect l="-58497" r="-58497"/>
                    <a:stretch>
                      <a:fillRect/>
                    </a:stretch>
                  </pic:blipFill>
                  <pic:spPr>
                    <a:xfrm>
                      <a:off x="0" y="0"/>
                      <a:ext cx="5943600" cy="2580005"/>
                    </a:xfrm>
                    <a:prstGeom prst="rect">
                      <a:avLst/>
                    </a:prstGeom>
                  </pic:spPr>
                </pic:pic>
              </a:graphicData>
            </a:graphic>
          </wp:inline>
        </w:drawing>
      </w:r>
    </w:p>
    <w:p w14:paraId="5FF6399D" w14:textId="47C5CD6D" w:rsidR="00535553" w:rsidRDefault="00535553" w:rsidP="0035342D">
      <w:pPr>
        <w:rPr>
          <w:rFonts w:eastAsiaTheme="minorEastAsia"/>
        </w:rPr>
      </w:pPr>
      <w:r>
        <w:rPr>
          <w:rFonts w:eastAsiaTheme="minorEastAsia"/>
        </w:rPr>
        <w:t xml:space="preserve">Using a geometric approach, divide the region into many small shapes that have known area formulas and then sum these areas to obtain a reasonable estimate of the true area. The first step is to divide the interval </w:t>
      </w:r>
      <m:oMath>
        <m:r>
          <w:rPr>
            <w:rFonts w:ascii="Cambria Math" w:eastAsiaTheme="minorEastAsia" w:hAnsi="Cambria Math"/>
          </w:rPr>
          <m:t>[a,b]</m:t>
        </m:r>
      </m:oMath>
      <w:r>
        <w:rPr>
          <w:rFonts w:eastAsiaTheme="minorEastAsia"/>
        </w:rPr>
        <w:t xml:space="preserve"> into </w:t>
      </w:r>
      <m:oMath>
        <m:r>
          <w:rPr>
            <w:rFonts w:ascii="Cambria Math" w:eastAsiaTheme="minorEastAsia" w:hAnsi="Cambria Math"/>
          </w:rPr>
          <m:t>n</m:t>
        </m:r>
      </m:oMath>
      <w:r>
        <w:rPr>
          <w:rFonts w:eastAsiaTheme="minorEastAsia"/>
        </w:rPr>
        <w:t xml:space="preserve"> subintervals of equal width,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n</m:t>
            </m:r>
          </m:den>
        </m:f>
      </m:oMath>
      <w:r>
        <w:rPr>
          <w:rFonts w:eastAsiaTheme="minorEastAsia"/>
        </w:rPr>
        <w:t>.</w:t>
      </w:r>
    </w:p>
    <w:p w14:paraId="2F42B2B8" w14:textId="6F08209B" w:rsidR="00535553" w:rsidRDefault="00535553" w:rsidP="003A6993">
      <w:pPr>
        <w:pStyle w:val="Quote"/>
      </w:pPr>
      <w:r>
        <w:t xml:space="preserve">A set of points </w:t>
      </w:r>
      <m:oMath>
        <m:r>
          <w:rPr>
            <w:rFonts w:ascii="Cambria Math" w:hAnsi="Cambria Math"/>
          </w:rPr>
          <m:t>P</m:t>
        </m:r>
        <m:r>
          <m:rPr>
            <m:sty m:val="p"/>
          </m:rPr>
          <w:rPr>
            <w:rFonts w:ascii="Cambria Math" w:hAnsi="Cambria Math"/>
          </w:rPr>
          <m:t>=</m:t>
        </m:r>
        <m:d>
          <m:dPr>
            <m:begChr m:val="{"/>
            <m:endChr m:val="}"/>
            <m:ctrlPr>
              <w:rPr>
                <w:rFonts w:ascii="Cambria Math" w:hAnsi="Cambria Math"/>
                <w:noProof w:val="0"/>
              </w:rPr>
            </m:ctrlPr>
          </m:dPr>
          <m:e>
            <m:sSub>
              <m:sSubPr>
                <m:ctrlPr>
                  <w:rPr>
                    <w:rFonts w:ascii="Cambria Math" w:hAnsi="Cambria Math"/>
                    <w:noProof w:val="0"/>
                  </w:rPr>
                </m:ctrlPr>
              </m:sSubPr>
              <m:e>
                <m:r>
                  <w:rPr>
                    <w:rFonts w:ascii="Cambria Math" w:hAnsi="Cambria Math"/>
                  </w:rPr>
                  <m:t>x</m:t>
                </m:r>
              </m:e>
              <m:sub>
                <m:r>
                  <w:rPr>
                    <w:rFonts w:ascii="Cambria Math" w:hAnsi="Cambria Math"/>
                  </w:rPr>
                  <m:t>i</m:t>
                </m:r>
              </m:sub>
            </m:sSub>
          </m:e>
        </m:d>
      </m:oMath>
      <w:r>
        <w:t xml:space="preserve"> for </w:t>
      </w:r>
      <m:oMath>
        <m:r>
          <w:rPr>
            <w:rFonts w:ascii="Cambria Math" w:hAnsi="Cambria Math"/>
          </w:rPr>
          <m:t>i</m:t>
        </m:r>
        <m:r>
          <m:rPr>
            <m:sty m:val="p"/>
          </m:rPr>
          <w:rPr>
            <w:rFonts w:ascii="Cambria Math" w:hAnsi="Cambria Math"/>
          </w:rPr>
          <m:t xml:space="preserve">=0, 1, 2,…, </m:t>
        </m:r>
        <m:r>
          <w:rPr>
            <w:rFonts w:ascii="Cambria Math" w:hAnsi="Cambria Math"/>
          </w:rPr>
          <m:t>n</m:t>
        </m:r>
      </m:oMath>
      <w:r>
        <w:t xml:space="preserve"> with </w:t>
      </w:r>
      <m:oMath>
        <m:r>
          <w:rPr>
            <w:rFonts w:ascii="Cambria Math" w:hAnsi="Cambria Math"/>
          </w:rPr>
          <m:t>a</m:t>
        </m:r>
        <m:r>
          <m:rPr>
            <m:sty m:val="p"/>
          </m:rPr>
          <w:rPr>
            <w:rFonts w:ascii="Cambria Math" w:hAnsi="Cambria Math"/>
          </w:rPr>
          <m:t>=</m:t>
        </m:r>
        <m:sSub>
          <m:sSubPr>
            <m:ctrlPr>
              <w:rPr>
                <w:rFonts w:ascii="Cambria Math" w:hAnsi="Cambria Math"/>
                <w:noProof w:val="0"/>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&lt;</m:t>
        </m:r>
        <m:sSub>
          <m:sSubPr>
            <m:ctrlPr>
              <w:rPr>
                <w:rFonts w:ascii="Cambria Math" w:hAnsi="Cambria Math"/>
                <w:noProof w:val="0"/>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&lt;</m:t>
        </m:r>
        <m:sSub>
          <m:sSubPr>
            <m:ctrlPr>
              <w:rPr>
                <w:rFonts w:ascii="Cambria Math" w:hAnsi="Cambria Math"/>
                <w:noProof w:val="0"/>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&lt;…&lt;</m:t>
        </m:r>
        <m:sSub>
          <m:sSubPr>
            <m:ctrlPr>
              <w:rPr>
                <w:rFonts w:ascii="Cambria Math" w:hAnsi="Cambria Math"/>
                <w:noProof w:val="0"/>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b</m:t>
        </m:r>
      </m:oMath>
      <w:r>
        <w:t xml:space="preserve">, which divides the interval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into subintervals of the form </w:t>
      </w:r>
      <m:oMath>
        <m:d>
          <m:dPr>
            <m:begChr m:val="["/>
            <m:endChr m:val="]"/>
            <m:ctrlPr>
              <w:rPr>
                <w:rFonts w:ascii="Cambria Math" w:hAnsi="Cambria Math"/>
              </w:rPr>
            </m:ctrlPr>
          </m:dPr>
          <m:e>
            <m:sSub>
              <m:sSubPr>
                <m:ctrlPr>
                  <w:rPr>
                    <w:rFonts w:ascii="Cambria Math" w:hAnsi="Cambria Math"/>
                    <w:noProof w:val="0"/>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noProof w:val="0"/>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noProof w:val="0"/>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noProof w:val="0"/>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noProof w:val="0"/>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noProof w:val="0"/>
                  </w:rPr>
                </m:ctrlPr>
              </m:sSubPr>
              <m:e>
                <m:r>
                  <w:rPr>
                    <w:rFonts w:ascii="Cambria Math" w:hAnsi="Cambria Math"/>
                  </w:rPr>
                  <m:t>x</m:t>
                </m:r>
              </m:e>
              <m:sub>
                <m:r>
                  <w:rPr>
                    <w:rFonts w:ascii="Cambria Math" w:hAnsi="Cambria Math"/>
                  </w:rPr>
                  <m:t>n</m:t>
                </m:r>
              </m:sub>
            </m:sSub>
          </m:e>
        </m:d>
      </m:oMath>
      <w:r>
        <w:t xml:space="preserve"> is called a </w:t>
      </w:r>
      <w:r w:rsidRPr="003A6993">
        <w:rPr>
          <w:rStyle w:val="Strong"/>
        </w:rPr>
        <w:t>partition</w:t>
      </w:r>
      <w:r>
        <w:t xml:space="preserve"> of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If the subintervals all have the same width, the set of points forms a </w:t>
      </w:r>
      <w:r w:rsidRPr="003A6993">
        <w:rPr>
          <w:rStyle w:val="Strong"/>
        </w:rPr>
        <w:t>regular partition</w:t>
      </w:r>
      <w:r>
        <w:t xml:space="preserve"> of the interval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w:t>
      </w:r>
    </w:p>
    <w:p w14:paraId="25D7DCFC" w14:textId="1B94A125" w:rsidR="00535553" w:rsidRDefault="00240E4D" w:rsidP="0035342D">
      <w:pPr>
        <w:rPr>
          <w:rFonts w:eastAsiaTheme="minorEastAsia"/>
        </w:rPr>
      </w:pPr>
      <w:r>
        <w:rPr>
          <w:rFonts w:eastAsiaTheme="minorEastAsia"/>
        </w:rPr>
        <w:t>U</w:t>
      </w:r>
      <w:r w:rsidR="003A6993">
        <w:rPr>
          <w:rFonts w:eastAsiaTheme="minorEastAsia"/>
        </w:rPr>
        <w:t xml:space="preserve">se this regular partition as the basis of a method for estimating the area under the curve. </w:t>
      </w:r>
      <w:r w:rsidR="00B038BE">
        <w:rPr>
          <w:rFonts w:eastAsiaTheme="minorEastAsia"/>
        </w:rPr>
        <w:t>T</w:t>
      </w:r>
      <w:r w:rsidR="003A6993">
        <w:rPr>
          <w:rFonts w:eastAsiaTheme="minorEastAsia"/>
        </w:rPr>
        <w:t>wo methods</w:t>
      </w:r>
      <w:r w:rsidR="00B038BE">
        <w:rPr>
          <w:rFonts w:eastAsiaTheme="minorEastAsia"/>
        </w:rPr>
        <w:t xml:space="preserve"> used to estimate are</w:t>
      </w:r>
      <w:r w:rsidR="003A6993">
        <w:rPr>
          <w:rFonts w:eastAsiaTheme="minorEastAsia"/>
        </w:rPr>
        <w:t>: the left-endpoint approximation and the right-endpoint approximation.</w:t>
      </w:r>
    </w:p>
    <w:p w14:paraId="0C40016F" w14:textId="7CA449C3" w:rsidR="003A6993" w:rsidRPr="005248FB" w:rsidRDefault="003A6993" w:rsidP="005248FB">
      <w:pPr>
        <w:pStyle w:val="Quote"/>
        <w:rPr>
          <w:rStyle w:val="Strong"/>
        </w:rPr>
      </w:pPr>
      <w:r w:rsidRPr="005248FB">
        <w:rPr>
          <w:rStyle w:val="Strong"/>
        </w:rPr>
        <w:t>Left-Endpoint Approximation</w:t>
      </w:r>
    </w:p>
    <w:p w14:paraId="20B45EDF" w14:textId="05818CB9" w:rsidR="003A6993" w:rsidRDefault="003A6993" w:rsidP="005248FB">
      <w:pPr>
        <w:pStyle w:val="Quote"/>
      </w:pPr>
      <w:r>
        <w:t xml:space="preserve">One each subinterval </w:t>
      </w:r>
      <m:oMath>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i</m:t>
            </m:r>
          </m:sub>
        </m:sSub>
        <m:r>
          <w:rPr>
            <w:rFonts w:ascii="Cambria Math" w:hAnsi="Cambria Math"/>
          </w:rPr>
          <m:t>]</m:t>
        </m:r>
      </m:oMath>
      <w:r>
        <w:t xml:space="preserve">(for </w:t>
      </w:r>
      <m:oMath>
        <m:r>
          <w:rPr>
            <w:rFonts w:ascii="Cambria Math" w:hAnsi="Cambria Math"/>
          </w:rPr>
          <m:t>i=1, 2, 3, …, n</m:t>
        </m:r>
      </m:oMath>
      <w:r>
        <w:t xml:space="preserve">), construct a rectangle with width </w:t>
      </w:r>
      <m:oMath>
        <m:r>
          <w:rPr>
            <w:rFonts w:ascii="Cambria Math" w:hAnsi="Cambria Math"/>
          </w:rPr>
          <m:t>∆x</m:t>
        </m:r>
      </m:oMath>
      <w:r>
        <w:t xml:space="preserve"> and height equal to </w:t>
      </w:r>
      <m:oMath>
        <m:r>
          <w:rPr>
            <w:rFonts w:ascii="Cambria Math" w:hAnsi="Cambria Math"/>
          </w:rPr>
          <m:t>f(</m:t>
        </m:r>
        <m:sSub>
          <m:sSubPr>
            <m:ctrlPr>
              <w:rPr>
                <w:rFonts w:ascii="Cambria Math" w:hAnsi="Cambria Math"/>
                <w:i/>
                <w:noProof w:val="0"/>
              </w:rPr>
            </m:ctrlPr>
          </m:sSubPr>
          <m:e>
            <m:r>
              <w:rPr>
                <w:rFonts w:ascii="Cambria Math" w:hAnsi="Cambria Math"/>
              </w:rPr>
              <m:t>x</m:t>
            </m:r>
          </m:e>
          <m:sub>
            <m:r>
              <w:rPr>
                <w:rFonts w:ascii="Cambria Math" w:hAnsi="Cambria Math"/>
              </w:rPr>
              <m:t>i-1</m:t>
            </m:r>
          </m:sub>
        </m:sSub>
        <m:r>
          <w:rPr>
            <w:rFonts w:ascii="Cambria Math" w:hAnsi="Cambria Math"/>
          </w:rPr>
          <m:t>)∆x</m:t>
        </m:r>
      </m:oMath>
      <w:r>
        <w:t xml:space="preserve">. Adding the areas of all these rectangles, we get an approximate value for </w:t>
      </w:r>
      <m:oMath>
        <m:r>
          <w:rPr>
            <w:rFonts w:ascii="Cambria Math" w:hAnsi="Cambria Math"/>
          </w:rPr>
          <m:t>A</m:t>
        </m:r>
      </m:oMath>
      <w:r>
        <w:t xml:space="preserve"> (as shown in the figure above). We use the notation </w:t>
      </w:r>
      <m:oMath>
        <m:sSub>
          <m:sSubPr>
            <m:ctrlPr>
              <w:rPr>
                <w:rFonts w:ascii="Cambria Math" w:hAnsi="Cambria Math"/>
                <w:i/>
                <w:noProof w:val="0"/>
              </w:rPr>
            </m:ctrlPr>
          </m:sSubPr>
          <m:e>
            <m:r>
              <w:rPr>
                <w:rFonts w:ascii="Cambria Math" w:hAnsi="Cambria Math"/>
              </w:rPr>
              <m:t>L</m:t>
            </m:r>
          </m:e>
          <m:sub>
            <m:r>
              <w:rPr>
                <w:rFonts w:ascii="Cambria Math" w:hAnsi="Cambria Math"/>
              </w:rPr>
              <m:t>n</m:t>
            </m:r>
          </m:sub>
        </m:sSub>
      </m:oMath>
      <w:r>
        <w:t xml:space="preserve"> to denote that this is a </w:t>
      </w:r>
      <w:r w:rsidRPr="005248FB">
        <w:rPr>
          <w:rStyle w:val="Strong"/>
        </w:rPr>
        <w:t>left-endpoint approximation</w:t>
      </w:r>
      <w:r>
        <w:t xml:space="preserve"> of </w:t>
      </w:r>
      <m:oMath>
        <m:r>
          <w:rPr>
            <w:rFonts w:ascii="Cambria Math" w:hAnsi="Cambria Math"/>
          </w:rPr>
          <m:t>A</m:t>
        </m:r>
      </m:oMath>
      <w:r>
        <w:t xml:space="preserve"> using </w:t>
      </w:r>
      <m:oMath>
        <m:r>
          <w:rPr>
            <w:rFonts w:ascii="Cambria Math" w:hAnsi="Cambria Math"/>
          </w:rPr>
          <m:t>n</m:t>
        </m:r>
      </m:oMath>
      <w:r>
        <w:t xml:space="preserve"> subintervals.</w:t>
      </w:r>
    </w:p>
    <w:p w14:paraId="560041A3" w14:textId="103A3919" w:rsidR="003A6993" w:rsidRDefault="005248FB" w:rsidP="007601DE">
      <w:pPr>
        <w:pStyle w:val="Quote"/>
        <w:jc w:val="center"/>
      </w:pPr>
      <m:oMath>
        <m:r>
          <w:rPr>
            <w:rFonts w:ascii="Cambria Math" w:hAnsi="Cambria Math"/>
          </w:rPr>
          <m:t>A≈</m:t>
        </m:r>
        <m:sSub>
          <m:sSubPr>
            <m:ctrlPr>
              <w:rPr>
                <w:rFonts w:ascii="Cambria Math" w:hAnsi="Cambria Math"/>
                <w:i/>
                <w:noProof w:val="0"/>
              </w:rPr>
            </m:ctrlPr>
          </m:sSubPr>
          <m:e>
            <m:r>
              <w:rPr>
                <w:rFonts w:ascii="Cambria Math" w:hAnsi="Cambria Math"/>
              </w:rPr>
              <m:t>L</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noProof w:val="0"/>
                  </w:rPr>
                </m:ctrlPr>
              </m:sSubPr>
              <m:e>
                <m:r>
                  <w:rPr>
                    <w:rFonts w:ascii="Cambria Math" w:hAnsi="Cambria Math"/>
                  </w:rPr>
                  <m:t>x</m:t>
                </m:r>
              </m:e>
              <m:sub>
                <m:r>
                  <w:rPr>
                    <w:rFonts w:ascii="Cambria Math" w:hAnsi="Cambria Math"/>
                  </w:rPr>
                  <m:t>0</m:t>
                </m:r>
              </m:sub>
            </m:sSub>
          </m:e>
        </m:d>
        <m:r>
          <w:rPr>
            <w:rFonts w:ascii="Cambria Math" w:hAnsi="Cambria Math"/>
          </w:rPr>
          <m:t>∆x+f</m:t>
        </m:r>
        <m:d>
          <m:dPr>
            <m:ctrlPr>
              <w:rPr>
                <w:rFonts w:ascii="Cambria Math" w:hAnsi="Cambria Math"/>
                <w:i/>
              </w:rPr>
            </m:ctrlPr>
          </m:dPr>
          <m:e>
            <m:sSub>
              <m:sSubPr>
                <m:ctrlPr>
                  <w:rPr>
                    <w:rFonts w:ascii="Cambria Math" w:hAnsi="Cambria Math"/>
                    <w:i/>
                    <w:noProof w:val="0"/>
                  </w:rPr>
                </m:ctrlPr>
              </m:sSubPr>
              <m:e>
                <m:r>
                  <w:rPr>
                    <w:rFonts w:ascii="Cambria Math" w:hAnsi="Cambria Math"/>
                  </w:rPr>
                  <m:t>x</m:t>
                </m:r>
              </m:e>
              <m:sub>
                <m:r>
                  <w:rPr>
                    <w:rFonts w:ascii="Cambria Math" w:hAnsi="Cambria Math"/>
                  </w:rPr>
                  <m:t>1</m:t>
                </m:r>
              </m:sub>
            </m:sSub>
          </m:e>
        </m:d>
        <m:r>
          <w:rPr>
            <w:rFonts w:ascii="Cambria Math" w:hAnsi="Cambria Math"/>
          </w:rPr>
          <m:t>∆x+…+f</m:t>
        </m:r>
        <m:d>
          <m:dPr>
            <m:ctrlPr>
              <w:rPr>
                <w:rFonts w:ascii="Cambria Math" w:hAnsi="Cambria Math"/>
                <w:i/>
              </w:rPr>
            </m:ctrlPr>
          </m:dPr>
          <m:e>
            <m:sSub>
              <m:sSubPr>
                <m:ctrlPr>
                  <w:rPr>
                    <w:rFonts w:ascii="Cambria Math" w:hAnsi="Cambria Math"/>
                    <w:i/>
                    <w:noProof w:val="0"/>
                  </w:rPr>
                </m:ctrlPr>
              </m:sSubPr>
              <m:e>
                <m:r>
                  <w:rPr>
                    <w:rFonts w:ascii="Cambria Math" w:hAnsi="Cambria Math"/>
                  </w:rPr>
                  <m:t>x</m:t>
                </m:r>
              </m:e>
              <m:sub>
                <m:r>
                  <w:rPr>
                    <w:rFonts w:ascii="Cambria Math" w:hAnsi="Cambria Math"/>
                  </w:rPr>
                  <m:t>n-1</m:t>
                </m:r>
              </m:sub>
            </m:sSub>
          </m:e>
        </m:d>
        <m:r>
          <w:rPr>
            <w:rFonts w:ascii="Cambria Math" w:hAnsi="Cambria Math"/>
          </w:rPr>
          <m:t>∆x</m:t>
        </m:r>
      </m:oMath>
      <w:r w:rsidR="007601DE">
        <w:rPr>
          <w:rFonts w:eastAsiaTheme="minorEastAsia"/>
        </w:rPr>
        <w:t xml:space="preserve"> </w:t>
      </w:r>
    </w:p>
    <w:p w14:paraId="665A995E" w14:textId="4837BBE5" w:rsidR="005248FB" w:rsidRPr="0035342D" w:rsidRDefault="005248FB" w:rsidP="007601DE">
      <w:pPr>
        <w:pStyle w:val="Quote"/>
        <w:jc w:val="center"/>
      </w:pPr>
      <m:oMath>
        <m:r>
          <w:rPr>
            <w:rFonts w:ascii="Cambria Math" w:hAnsi="Cambria Math"/>
          </w:rPr>
          <m:t>=</m:t>
        </m:r>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noProof w:val="0"/>
                      </w:rPr>
                    </m:ctrlPr>
                  </m:sSubPr>
                  <m:e>
                    <m:r>
                      <w:rPr>
                        <w:rFonts w:ascii="Cambria Math" w:hAnsi="Cambria Math"/>
                      </w:rPr>
                      <m:t>x</m:t>
                    </m:r>
                  </m:e>
                  <m:sub>
                    <m:r>
                      <w:rPr>
                        <w:rFonts w:ascii="Cambria Math" w:hAnsi="Cambria Math"/>
                      </w:rPr>
                      <m:t>i-1</m:t>
                    </m:r>
                  </m:sub>
                </m:sSub>
              </m:e>
            </m:d>
            <m:r>
              <w:rPr>
                <w:rFonts w:ascii="Cambria Math" w:hAnsi="Cambria Math"/>
              </w:rPr>
              <m:t>∆x</m:t>
            </m:r>
          </m:e>
        </m:nary>
      </m:oMath>
      <w:r w:rsidR="007601DE">
        <w:rPr>
          <w:rFonts w:eastAsiaTheme="minorEastAsia"/>
        </w:rPr>
        <w:t xml:space="preserve"> </w:t>
      </w:r>
    </w:p>
    <w:p w14:paraId="5BD025D5" w14:textId="77777777" w:rsidR="00240E4D" w:rsidRDefault="00240E4D">
      <w:pPr>
        <w:spacing w:line="259" w:lineRule="auto"/>
        <w:rPr>
          <w:rFonts w:eastAsiaTheme="minorEastAsia"/>
        </w:rPr>
      </w:pPr>
      <w:r>
        <w:rPr>
          <w:rFonts w:eastAsiaTheme="minorEastAsia"/>
        </w:rPr>
        <w:br w:type="page"/>
      </w:r>
    </w:p>
    <w:p w14:paraId="7924B8FC" w14:textId="4F2865A4" w:rsidR="00C85BDC" w:rsidRDefault="005248FB" w:rsidP="00C85BDC">
      <w:pPr>
        <w:rPr>
          <w:rFonts w:eastAsiaTheme="minorEastAsia"/>
        </w:rPr>
      </w:pPr>
      <w:r>
        <w:rPr>
          <w:rFonts w:eastAsiaTheme="minorEastAsia"/>
        </w:rPr>
        <w:lastRenderedPageBreak/>
        <w:t>In the left-endpoint approximation of area under the curve, the height of each rectangle is determined by the function value at the left of each subinterval.</w:t>
      </w:r>
    </w:p>
    <w:p w14:paraId="5B6EC44B" w14:textId="7342833A" w:rsidR="005248FB" w:rsidRDefault="005248FB" w:rsidP="00101887">
      <w:pPr>
        <w:jc w:val="center"/>
        <w:rPr>
          <w:rFonts w:eastAsiaTheme="minorEastAsia"/>
        </w:rPr>
      </w:pPr>
      <w:r w:rsidRPr="005248FB">
        <w:rPr>
          <w:rFonts w:eastAsiaTheme="minorEastAsia"/>
          <w:noProof/>
        </w:rPr>
        <w:drawing>
          <wp:inline distT="0" distB="0" distL="0" distR="0" wp14:anchorId="0BCC89C2" wp14:editId="4E54B96F">
            <wp:extent cx="4008236" cy="1739900"/>
            <wp:effectExtent l="0" t="0" r="0" b="0"/>
            <wp:docPr id="3" name="Picture Placeholder 1" descr="A diagram showing the left-endpoint approximation of area under a curve. Under a parabola with vertex on the y axis and above the x axis, rectangles are drawn between a=x0 on the origin and b = xn. The rectangles have endpoints at a=x0, x1, x2…x(n-1), and b = xn, spaced equally. The height of each rectangle is determined by the value of the given function at the left endpoint of the rectangl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diagram showing the left-endpoint approximation of area under a curve. Under a parabola with vertex on the y axis and above the x axis, rectangles are drawn between a=x0 on the origin and b = xn. The rectangles have endpoints at a=x0, x1, x2…x(n-1), and b = xn, spaced equally. The height of each rectangle is determined by the value of the given function at the left endpoint of the rectangle."/>
                    <pic:cNvPicPr>
                      <a:picLocks noGrp="1" noChangeAspect="1"/>
                    </pic:cNvPicPr>
                  </pic:nvPicPr>
                  <pic:blipFill>
                    <a:blip r:embed="rId13">
                      <a:extLst>
                        <a:ext uri="{28A0092B-C50C-407E-A947-70E740481C1C}">
                          <a14:useLocalDpi xmlns:a14="http://schemas.microsoft.com/office/drawing/2010/main" val="0"/>
                        </a:ext>
                      </a:extLst>
                    </a:blip>
                    <a:srcRect l="-7000" r="-7000"/>
                    <a:stretch>
                      <a:fillRect/>
                    </a:stretch>
                  </pic:blipFill>
                  <pic:spPr>
                    <a:xfrm>
                      <a:off x="0" y="0"/>
                      <a:ext cx="4024810" cy="1747095"/>
                    </a:xfrm>
                    <a:prstGeom prst="rect">
                      <a:avLst/>
                    </a:prstGeom>
                  </pic:spPr>
                </pic:pic>
              </a:graphicData>
            </a:graphic>
          </wp:inline>
        </w:drawing>
      </w:r>
    </w:p>
    <w:p w14:paraId="1B29DD2B" w14:textId="529C1A34" w:rsidR="005248FB" w:rsidRDefault="005248FB" w:rsidP="00C85BDC">
      <w:pPr>
        <w:rPr>
          <w:rFonts w:eastAsiaTheme="minorEastAsia"/>
        </w:rPr>
      </w:pPr>
      <w:r>
        <w:rPr>
          <w:rFonts w:eastAsiaTheme="minorEastAsia"/>
        </w:rPr>
        <w:t>The second method for approximating area under a curve is the right-endpoint approximation. It is almost the same as the left-endpoint approximation, but now the heights of the rectangles are determined by the function values at the right of each subinterval.</w:t>
      </w:r>
    </w:p>
    <w:p w14:paraId="0D252E9B" w14:textId="289F776F" w:rsidR="005248FB" w:rsidRPr="005248FB" w:rsidRDefault="005248FB" w:rsidP="0021442E">
      <w:pPr>
        <w:pStyle w:val="Quote"/>
        <w:rPr>
          <w:rStyle w:val="Strong"/>
        </w:rPr>
      </w:pPr>
      <w:r>
        <w:rPr>
          <w:rStyle w:val="Strong"/>
        </w:rPr>
        <w:t>Right</w:t>
      </w:r>
      <w:r w:rsidRPr="005248FB">
        <w:rPr>
          <w:rStyle w:val="Strong"/>
        </w:rPr>
        <w:t>-Endpoint Approximation</w:t>
      </w:r>
    </w:p>
    <w:p w14:paraId="6679B910" w14:textId="242680E1" w:rsidR="005248FB" w:rsidRDefault="005248FB" w:rsidP="0021442E">
      <w:pPr>
        <w:pStyle w:val="Quote"/>
      </w:pPr>
      <w:r>
        <w:t xml:space="preserve">Construct a rectangle on each subinterval </w:t>
      </w:r>
      <m:oMath>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i</m:t>
            </m:r>
          </m:sub>
        </m:sSub>
        <m:r>
          <w:rPr>
            <w:rFonts w:ascii="Cambria Math" w:hAnsi="Cambria Math"/>
          </w:rPr>
          <m:t>]</m:t>
        </m:r>
      </m:oMath>
      <w:r>
        <w:t xml:space="preserve">, only this time the height of the rectangle is determined by the function value </w:t>
      </w:r>
      <m:oMath>
        <m:r>
          <w:rPr>
            <w:rFonts w:ascii="Cambria Math" w:hAnsi="Cambria Math"/>
          </w:rPr>
          <m:t>f(</m:t>
        </m:r>
        <m:sSub>
          <m:sSubPr>
            <m:ctrlPr>
              <w:rPr>
                <w:rFonts w:ascii="Cambria Math" w:hAnsi="Cambria Math"/>
                <w:i/>
                <w:noProof w:val="0"/>
              </w:rPr>
            </m:ctrlPr>
          </m:sSubPr>
          <m:e>
            <m:r>
              <w:rPr>
                <w:rFonts w:ascii="Cambria Math" w:hAnsi="Cambria Math"/>
              </w:rPr>
              <m:t>x</m:t>
            </m:r>
          </m:e>
          <m:sub>
            <m:r>
              <w:rPr>
                <w:rFonts w:ascii="Cambria Math" w:hAnsi="Cambria Math"/>
              </w:rPr>
              <m:t>i</m:t>
            </m:r>
          </m:sub>
        </m:sSub>
        <m:r>
          <w:rPr>
            <w:rFonts w:ascii="Cambria Math" w:hAnsi="Cambria Math"/>
          </w:rPr>
          <m:t>)</m:t>
        </m:r>
      </m:oMath>
      <w:r w:rsidR="0021442E">
        <w:rPr>
          <w:rFonts w:eastAsiaTheme="minorEastAsia"/>
        </w:rPr>
        <w:t xml:space="preserve"> at the right endpoint of the subinterval. Then the area of each rectangle is </w:t>
      </w:r>
      <m:oMath>
        <m:r>
          <w:rPr>
            <w:rFonts w:ascii="Cambria Math" w:hAnsi="Cambria Math"/>
          </w:rPr>
          <m:t>f(</m:t>
        </m:r>
        <m:sSub>
          <m:sSubPr>
            <m:ctrlPr>
              <w:rPr>
                <w:rFonts w:ascii="Cambria Math" w:hAnsi="Cambria Math"/>
                <w:i/>
                <w:noProof w:val="0"/>
              </w:rPr>
            </m:ctrlPr>
          </m:sSubPr>
          <m:e>
            <m:r>
              <w:rPr>
                <w:rFonts w:ascii="Cambria Math" w:hAnsi="Cambria Math"/>
              </w:rPr>
              <m:t>x</m:t>
            </m:r>
          </m:e>
          <m:sub>
            <m:r>
              <w:rPr>
                <w:rFonts w:ascii="Cambria Math" w:hAnsi="Cambria Math"/>
              </w:rPr>
              <m:t>i</m:t>
            </m:r>
          </m:sub>
        </m:sSub>
        <m:r>
          <w:rPr>
            <w:rFonts w:ascii="Cambria Math" w:hAnsi="Cambria Math"/>
          </w:rPr>
          <m:t>)∆x</m:t>
        </m:r>
      </m:oMath>
      <w:r>
        <w:t xml:space="preserve"> </w:t>
      </w:r>
      <w:r w:rsidR="0021442E">
        <w:t xml:space="preserve">and the approximation for </w:t>
      </w:r>
      <m:oMath>
        <m:r>
          <w:rPr>
            <w:rFonts w:ascii="Cambria Math" w:hAnsi="Cambria Math"/>
          </w:rPr>
          <m:t>A</m:t>
        </m:r>
      </m:oMath>
      <w:r w:rsidR="0021442E">
        <w:rPr>
          <w:rFonts w:eastAsiaTheme="minorEastAsia"/>
        </w:rPr>
        <w:t xml:space="preserve"> is given by</w:t>
      </w:r>
    </w:p>
    <w:p w14:paraId="66BD82F6" w14:textId="15B56FC4" w:rsidR="005248FB" w:rsidRDefault="005248FB" w:rsidP="00240E4D">
      <w:pPr>
        <w:pStyle w:val="Quote"/>
        <w:jc w:val="center"/>
      </w:pPr>
      <m:oMath>
        <m:r>
          <w:rPr>
            <w:rFonts w:ascii="Cambria Math" w:hAnsi="Cambria Math"/>
          </w:rPr>
          <m:t>A≈</m:t>
        </m:r>
        <m:sSub>
          <m:sSubPr>
            <m:ctrlPr>
              <w:rPr>
                <w:rFonts w:ascii="Cambria Math" w:hAnsi="Cambria Math"/>
                <w:i/>
                <w:noProof w:val="0"/>
              </w:rPr>
            </m:ctrlPr>
          </m:sSubPr>
          <m:e>
            <m:r>
              <w:rPr>
                <w:rFonts w:ascii="Cambria Math" w:hAnsi="Cambria Math"/>
              </w:rPr>
              <m:t>R</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noProof w:val="0"/>
                  </w:rPr>
                </m:ctrlPr>
              </m:sSubPr>
              <m:e>
                <m:r>
                  <w:rPr>
                    <w:rFonts w:ascii="Cambria Math" w:hAnsi="Cambria Math"/>
                  </w:rPr>
                  <m:t>x</m:t>
                </m:r>
              </m:e>
              <m:sub>
                <m:r>
                  <w:rPr>
                    <w:rFonts w:ascii="Cambria Math" w:hAnsi="Cambria Math"/>
                  </w:rPr>
                  <m:t>1</m:t>
                </m:r>
              </m:sub>
            </m:sSub>
          </m:e>
        </m:d>
        <m:r>
          <w:rPr>
            <w:rFonts w:ascii="Cambria Math" w:hAnsi="Cambria Math"/>
          </w:rPr>
          <m:t>∆x+f</m:t>
        </m:r>
        <m:d>
          <m:dPr>
            <m:ctrlPr>
              <w:rPr>
                <w:rFonts w:ascii="Cambria Math" w:hAnsi="Cambria Math"/>
                <w:i/>
              </w:rPr>
            </m:ctrlPr>
          </m:dPr>
          <m:e>
            <m:sSub>
              <m:sSubPr>
                <m:ctrlPr>
                  <w:rPr>
                    <w:rFonts w:ascii="Cambria Math" w:hAnsi="Cambria Math"/>
                    <w:i/>
                    <w:noProof w:val="0"/>
                  </w:rPr>
                </m:ctrlPr>
              </m:sSubPr>
              <m:e>
                <m:r>
                  <w:rPr>
                    <w:rFonts w:ascii="Cambria Math" w:hAnsi="Cambria Math"/>
                  </w:rPr>
                  <m:t>x</m:t>
                </m:r>
              </m:e>
              <m:sub>
                <m:r>
                  <w:rPr>
                    <w:rFonts w:ascii="Cambria Math" w:hAnsi="Cambria Math"/>
                  </w:rPr>
                  <m:t>2</m:t>
                </m:r>
              </m:sub>
            </m:sSub>
          </m:e>
        </m:d>
        <m:r>
          <w:rPr>
            <w:rFonts w:ascii="Cambria Math" w:hAnsi="Cambria Math"/>
          </w:rPr>
          <m:t>∆x+…+f</m:t>
        </m:r>
        <m:d>
          <m:dPr>
            <m:ctrlPr>
              <w:rPr>
                <w:rFonts w:ascii="Cambria Math" w:hAnsi="Cambria Math"/>
                <w:i/>
              </w:rPr>
            </m:ctrlPr>
          </m:dPr>
          <m:e>
            <m:sSub>
              <m:sSubPr>
                <m:ctrlPr>
                  <w:rPr>
                    <w:rFonts w:ascii="Cambria Math" w:hAnsi="Cambria Math"/>
                    <w:i/>
                    <w:noProof w:val="0"/>
                  </w:rPr>
                </m:ctrlPr>
              </m:sSubPr>
              <m:e>
                <m:r>
                  <w:rPr>
                    <w:rFonts w:ascii="Cambria Math" w:hAnsi="Cambria Math"/>
                  </w:rPr>
                  <m:t>x</m:t>
                </m:r>
              </m:e>
              <m:sub>
                <m:r>
                  <w:rPr>
                    <w:rFonts w:ascii="Cambria Math" w:hAnsi="Cambria Math"/>
                  </w:rPr>
                  <m:t>n</m:t>
                </m:r>
              </m:sub>
            </m:sSub>
          </m:e>
        </m:d>
        <m:r>
          <w:rPr>
            <w:rFonts w:ascii="Cambria Math" w:hAnsi="Cambria Math"/>
          </w:rPr>
          <m:t>∆x</m:t>
        </m:r>
      </m:oMath>
      <w:r w:rsidR="00240E4D">
        <w:rPr>
          <w:rFonts w:eastAsiaTheme="minorEastAsia"/>
        </w:rPr>
        <w:t xml:space="preserve"> </w:t>
      </w:r>
    </w:p>
    <w:p w14:paraId="5FFB26A6" w14:textId="68337C3F" w:rsidR="005248FB" w:rsidRDefault="005248FB" w:rsidP="00240E4D">
      <w:pPr>
        <w:pStyle w:val="Quote"/>
        <w:jc w:val="center"/>
        <w:rPr>
          <w:rFonts w:eastAsiaTheme="minorEastAsia"/>
        </w:rPr>
      </w:pPr>
      <m:oMath>
        <m:r>
          <w:rPr>
            <w:rFonts w:ascii="Cambria Math" w:hAnsi="Cambria Math"/>
          </w:rPr>
          <m:t>=</m:t>
        </m:r>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noProof w:val="0"/>
                      </w:rPr>
                    </m:ctrlPr>
                  </m:sSubPr>
                  <m:e>
                    <m:r>
                      <w:rPr>
                        <w:rFonts w:ascii="Cambria Math" w:hAnsi="Cambria Math"/>
                      </w:rPr>
                      <m:t>x</m:t>
                    </m:r>
                  </m:e>
                  <m:sub>
                    <m:r>
                      <w:rPr>
                        <w:rFonts w:ascii="Cambria Math" w:hAnsi="Cambria Math"/>
                      </w:rPr>
                      <m:t>i</m:t>
                    </m:r>
                  </m:sub>
                </m:sSub>
              </m:e>
            </m:d>
            <m:r>
              <w:rPr>
                <w:rFonts w:ascii="Cambria Math" w:hAnsi="Cambria Math"/>
              </w:rPr>
              <m:t>∆x</m:t>
            </m:r>
          </m:e>
        </m:nary>
      </m:oMath>
      <w:r w:rsidR="00240E4D">
        <w:rPr>
          <w:rFonts w:eastAsiaTheme="minorEastAsia"/>
        </w:rPr>
        <w:t xml:space="preserve"> </w:t>
      </w:r>
    </w:p>
    <w:p w14:paraId="0427065F" w14:textId="2DC43DB3" w:rsidR="0021442E" w:rsidRDefault="0021442E" w:rsidP="0021442E">
      <w:pPr>
        <w:pStyle w:val="Quote"/>
        <w:rPr>
          <w:rFonts w:eastAsiaTheme="minorEastAsia"/>
        </w:rPr>
      </w:pPr>
      <w:r>
        <w:rPr>
          <w:rFonts w:eastAsiaTheme="minorEastAsia"/>
        </w:rPr>
        <w:t xml:space="preserve">The notation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Pr>
          <w:rFonts w:eastAsiaTheme="minorEastAsia"/>
        </w:rPr>
        <w:t xml:space="preserve"> indicates this is a </w:t>
      </w:r>
      <w:r w:rsidRPr="0021442E">
        <w:rPr>
          <w:rStyle w:val="Strong"/>
        </w:rPr>
        <w:t>right-endpoint approximation</w:t>
      </w:r>
      <w:r>
        <w:rPr>
          <w:rFonts w:eastAsiaTheme="minorEastAsia"/>
        </w:rPr>
        <w:t xml:space="preserve"> for </w:t>
      </w:r>
      <m:oMath>
        <m:r>
          <w:rPr>
            <w:rFonts w:ascii="Cambria Math" w:eastAsiaTheme="minorEastAsia" w:hAnsi="Cambria Math"/>
          </w:rPr>
          <m:t>A</m:t>
        </m:r>
      </m:oMath>
      <w:r>
        <w:rPr>
          <w:rFonts w:eastAsiaTheme="minorEastAsia"/>
        </w:rPr>
        <w:t>, shown in the figure below.</w:t>
      </w:r>
    </w:p>
    <w:p w14:paraId="5C7FCD79" w14:textId="27FF74A5" w:rsidR="0021442E" w:rsidRDefault="0021442E" w:rsidP="00101887">
      <w:pPr>
        <w:jc w:val="center"/>
        <w:rPr>
          <w:rFonts w:eastAsiaTheme="minorEastAsia"/>
        </w:rPr>
      </w:pPr>
      <w:r w:rsidRPr="0021442E">
        <w:rPr>
          <w:rFonts w:eastAsiaTheme="minorEastAsia"/>
          <w:noProof/>
        </w:rPr>
        <w:drawing>
          <wp:inline distT="0" distB="0" distL="0" distR="0" wp14:anchorId="7C76B65B" wp14:editId="582B8F5E">
            <wp:extent cx="3847322" cy="1670050"/>
            <wp:effectExtent l="0" t="0" r="0" b="6350"/>
            <wp:docPr id="4" name="Picture Placeholder 1" descr="A diagram showing the right-endpoint approximation of area under a curve. Under a parabola with vertex on the y axis and above the x axis, rectangles are drawn between a=x0 on the origin and b = xn. The rectangles have endpoints at a=x0, x1, x2…x(n-1), and b = xn, spaced equally. The height of each rectangle is determined by the value of the given function at the right endpoint of the rectangl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diagram showing the right-endpoint approximation of area under a curve. Under a parabola with vertex on the y axis and above the x axis, rectangles are drawn between a=x0 on the origin and b = xn. The rectangles have endpoints at a=x0, x1, x2…x(n-1), and b = xn, spaced equally. The height of each rectangle is determined by the value of the given function at the right endpoint of the rectangle."/>
                    <pic:cNvPicPr>
                      <a:picLocks noGrp="1" noChangeAspect="1"/>
                    </pic:cNvPicPr>
                  </pic:nvPicPr>
                  <pic:blipFill rotWithShape="1">
                    <a:blip r:embed="rId14">
                      <a:extLst>
                        <a:ext uri="{28A0092B-C50C-407E-A947-70E740481C1C}">
                          <a14:useLocalDpi xmlns:a14="http://schemas.microsoft.com/office/drawing/2010/main" val="0"/>
                        </a:ext>
                      </a:extLst>
                    </a:blip>
                    <a:srcRect l="-7000" r="-7000"/>
                    <a:stretch/>
                  </pic:blipFill>
                  <pic:spPr>
                    <a:xfrm>
                      <a:off x="0" y="0"/>
                      <a:ext cx="3860703" cy="1675858"/>
                    </a:xfrm>
                    <a:prstGeom prst="rect">
                      <a:avLst/>
                    </a:prstGeom>
                  </pic:spPr>
                </pic:pic>
              </a:graphicData>
            </a:graphic>
          </wp:inline>
        </w:drawing>
      </w:r>
    </w:p>
    <w:p w14:paraId="7ADBAF38" w14:textId="77F1AEEE" w:rsidR="00101887" w:rsidRDefault="00101887" w:rsidP="005248FB">
      <w:pPr>
        <w:rPr>
          <w:rFonts w:eastAsiaTheme="minorEastAsia"/>
        </w:rPr>
      </w:pPr>
      <w:r>
        <w:rPr>
          <w:rFonts w:eastAsiaTheme="minorEastAsia"/>
        </w:rPr>
        <w:t>Depending on which method you choose, the approximation of the area could be an underestimate or an overestimate, as shown below. Figure (a) uses the left endpoints and figure (b) uses the right endpoints.</w:t>
      </w:r>
    </w:p>
    <w:p w14:paraId="153B92F3" w14:textId="475CE510" w:rsidR="00103061" w:rsidRDefault="00103061" w:rsidP="005248FB">
      <w:pPr>
        <w:rPr>
          <w:rFonts w:eastAsiaTheme="minorEastAsia"/>
        </w:rPr>
      </w:pPr>
      <w:r w:rsidRPr="00103061">
        <w:rPr>
          <w:rFonts w:eastAsiaTheme="minorEastAsia"/>
          <w:noProof/>
        </w:rPr>
        <w:lastRenderedPageBreak/>
        <w:drawing>
          <wp:inline distT="0" distB="0" distL="0" distR="0" wp14:anchorId="51CC7CDD" wp14:editId="7258992E">
            <wp:extent cx="5943600" cy="2580005"/>
            <wp:effectExtent l="0" t="0" r="0" b="0"/>
            <wp:docPr id="6" name="Picture Placeholder 1" descr="Diagrams side by side, showing the differences in approximating the area under a parabolic curve with vertex at the origin between the left endpoints method (the first diagram) and the right endpoints method (the second diagram). In the first diagram, rectangles are drawn at even intervals (delta x) under the curve with heights determined by the value of the function at the left endpoints. In the second diagram, the rectangles are drawn in the same fashion, but with heights determined by the value of the function at the right endpoints. The endpoints in both are spaced equally from the origin to (3, 0), labeled x0 to x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Diagrams side by side, showing the differences in approximating the area under a parabolic curve with vertex at the origin between the left endpoints method (the first diagram) and the right endpoints method (the second diagram). In the first diagram, rectangles are drawn at even intervals (delta x) under the curve with heights determined by the value of the function at the left endpoints. In the second diagram, the rectangles are drawn in the same fashion, but with heights determined by the value of the function at the right endpoints. The endpoints in both are spaced equally from the origin to (3, 0), labeled x0 to x6."/>
                    <pic:cNvPicPr>
                      <a:picLocks noGrp="1" noChangeAspect="1"/>
                    </pic:cNvPicPr>
                  </pic:nvPicPr>
                  <pic:blipFill rotWithShape="1">
                    <a:blip r:embed="rId15">
                      <a:extLst>
                        <a:ext uri="{28A0092B-C50C-407E-A947-70E740481C1C}">
                          <a14:useLocalDpi xmlns:a14="http://schemas.microsoft.com/office/drawing/2010/main" val="0"/>
                        </a:ext>
                      </a:extLst>
                    </a:blip>
                    <a:srcRect t="-1053" b="-1053"/>
                    <a:stretch/>
                  </pic:blipFill>
                  <pic:spPr>
                    <a:xfrm>
                      <a:off x="0" y="0"/>
                      <a:ext cx="5943600" cy="2580005"/>
                    </a:xfrm>
                    <a:prstGeom prst="rect">
                      <a:avLst/>
                    </a:prstGeom>
                  </pic:spPr>
                </pic:pic>
              </a:graphicData>
            </a:graphic>
          </wp:inline>
        </w:drawing>
      </w:r>
    </w:p>
    <w:p w14:paraId="7906B2C3" w14:textId="3AA76EEF" w:rsidR="00103061" w:rsidRPr="00C85BDC" w:rsidRDefault="00101887" w:rsidP="005248FB">
      <w:pPr>
        <w:rPr>
          <w:rFonts w:eastAsiaTheme="minorEastAsia"/>
        </w:rPr>
      </w:pPr>
      <w:r>
        <w:rPr>
          <w:rFonts w:eastAsiaTheme="minorEastAsia"/>
        </w:rPr>
        <w:t>U</w:t>
      </w:r>
      <w:r w:rsidR="00103061">
        <w:rPr>
          <w:rFonts w:eastAsiaTheme="minorEastAsia"/>
        </w:rPr>
        <w:t xml:space="preserve">sing a small number of intervals does not give an accurate estimate of the area under the curve. However, </w:t>
      </w:r>
      <w:r w:rsidR="00BA670B">
        <w:rPr>
          <w:rFonts w:eastAsiaTheme="minorEastAsia"/>
        </w:rPr>
        <w:t>as</w:t>
      </w:r>
      <w:r w:rsidR="00103061">
        <w:rPr>
          <w:rFonts w:eastAsiaTheme="minorEastAsia"/>
        </w:rPr>
        <w:t xml:space="preserve"> the number of points in </w:t>
      </w:r>
      <w:r w:rsidR="00BA670B">
        <w:rPr>
          <w:rFonts w:eastAsiaTheme="minorEastAsia"/>
        </w:rPr>
        <w:t xml:space="preserve">the </w:t>
      </w:r>
      <w:r w:rsidR="00103061">
        <w:rPr>
          <w:rFonts w:eastAsiaTheme="minorEastAsia"/>
        </w:rPr>
        <w:t>partition</w:t>
      </w:r>
      <w:r w:rsidR="00BA670B">
        <w:rPr>
          <w:rFonts w:eastAsiaTheme="minorEastAsia"/>
        </w:rPr>
        <w:t xml:space="preserve"> increases</w:t>
      </w:r>
      <w:r w:rsidR="00103061">
        <w:rPr>
          <w:rFonts w:eastAsiaTheme="minorEastAsia"/>
        </w:rPr>
        <w:t xml:space="preserve">, </w:t>
      </w:r>
      <w:r w:rsidR="00BA670B">
        <w:rPr>
          <w:rFonts w:eastAsiaTheme="minorEastAsia"/>
        </w:rPr>
        <w:t>the</w:t>
      </w:r>
      <w:r w:rsidR="00103061">
        <w:rPr>
          <w:rFonts w:eastAsiaTheme="minorEastAsia"/>
        </w:rPr>
        <w:t xml:space="preserve"> estimate of </w:t>
      </w:r>
      <m:oMath>
        <m:r>
          <w:rPr>
            <w:rFonts w:ascii="Cambria Math" w:eastAsiaTheme="minorEastAsia" w:hAnsi="Cambria Math"/>
          </w:rPr>
          <m:t>A</m:t>
        </m:r>
      </m:oMath>
      <w:r w:rsidR="00103061">
        <w:rPr>
          <w:rFonts w:eastAsiaTheme="minorEastAsia"/>
        </w:rPr>
        <w:t xml:space="preserve"> will improve. We will have more rectangles, but each rectan</w:t>
      </w:r>
      <w:proofErr w:type="spellStart"/>
      <w:r w:rsidR="00103061">
        <w:rPr>
          <w:rFonts w:eastAsiaTheme="minorEastAsia"/>
        </w:rPr>
        <w:t>gle</w:t>
      </w:r>
      <w:proofErr w:type="spellEnd"/>
      <w:r w:rsidR="00103061">
        <w:rPr>
          <w:rFonts w:eastAsiaTheme="minorEastAsia"/>
        </w:rPr>
        <w:t xml:space="preserve"> will be thinner, so we will be able to fir the rectangles to the curve more precisely. See the two figures below.</w:t>
      </w:r>
    </w:p>
    <w:p w14:paraId="4CC4C139" w14:textId="3F627368" w:rsidR="00103061" w:rsidRDefault="00101887" w:rsidP="00101887">
      <w:pPr>
        <w:rPr>
          <w:rStyle w:val="IntenseEmphasis"/>
        </w:rPr>
      </w:pPr>
      <w:r w:rsidRPr="00101887">
        <w:rPr>
          <w:b/>
          <w:i/>
          <w:iCs/>
          <w:noProof/>
          <w:color w:val="00704A" w:themeColor="text2"/>
          <w:spacing w:val="4"/>
          <w:sz w:val="26"/>
          <w:szCs w:val="26"/>
        </w:rPr>
        <w:drawing>
          <wp:inline distT="0" distB="0" distL="0" distR="0" wp14:anchorId="301A0E1C" wp14:editId="0B9CE554">
            <wp:extent cx="2867206" cy="1244600"/>
            <wp:effectExtent l="0" t="0" r="0" b="0"/>
            <wp:docPr id="7" name="Picture Placeholder 1" descr="A graph showing the left-endpoint approximation for the area under the given curve from a=x0 to b = x8. The heights of the rectangles are determined by the values of the function at the left endpoint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graph showing the left-endpoint approximation for the area under the given curve from a=x0 to b = x8. The heights of the rectangles are determined by the values of the function at the left endpoints."/>
                    <pic:cNvPicPr>
                      <a:picLocks noGrp="1" noChangeAspect="1"/>
                    </pic:cNvPicPr>
                  </pic:nvPicPr>
                  <pic:blipFill>
                    <a:blip r:embed="rId16">
                      <a:extLst>
                        <a:ext uri="{28A0092B-C50C-407E-A947-70E740481C1C}">
                          <a14:useLocalDpi xmlns:a14="http://schemas.microsoft.com/office/drawing/2010/main" val="0"/>
                        </a:ext>
                      </a:extLst>
                    </a:blip>
                    <a:srcRect l="-15041" r="-15041"/>
                    <a:stretch>
                      <a:fillRect/>
                    </a:stretch>
                  </pic:blipFill>
                  <pic:spPr>
                    <a:xfrm>
                      <a:off x="0" y="0"/>
                      <a:ext cx="2884806" cy="1252240"/>
                    </a:xfrm>
                    <a:prstGeom prst="rect">
                      <a:avLst/>
                    </a:prstGeom>
                  </pic:spPr>
                </pic:pic>
              </a:graphicData>
            </a:graphic>
          </wp:inline>
        </w:drawing>
      </w:r>
      <w:r w:rsidRPr="00101887">
        <w:rPr>
          <w:noProof/>
        </w:rPr>
        <w:t xml:space="preserve"> </w:t>
      </w:r>
      <w:r w:rsidRPr="00101887">
        <w:rPr>
          <w:b/>
          <w:i/>
          <w:iCs/>
          <w:noProof/>
          <w:color w:val="00704A" w:themeColor="text2"/>
          <w:spacing w:val="4"/>
          <w:sz w:val="26"/>
          <w:szCs w:val="26"/>
        </w:rPr>
        <w:drawing>
          <wp:inline distT="0" distB="0" distL="0" distR="0" wp14:anchorId="1D9C84FB" wp14:editId="38F86F8A">
            <wp:extent cx="3022600" cy="1312055"/>
            <wp:effectExtent l="0" t="0" r="0" b="2540"/>
            <wp:docPr id="8" name="Picture Placeholder 1" descr="A graph of the left-endpoint approximation of the area under the given curve from a = x0 to b = x32. The heights of the rectangles are determined by the values of the function at the left endpoint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graph of the left-endpoint approximation of the area under the given curve from a = x0 to b = x32. The heights of the rectangles are determined by the values of the function at the left endpoints."/>
                    <pic:cNvPicPr>
                      <a:picLocks noGrp="1" noChangeAspect="1"/>
                    </pic:cNvPicPr>
                  </pic:nvPicPr>
                  <pic:blipFill>
                    <a:blip r:embed="rId17">
                      <a:extLst>
                        <a:ext uri="{28A0092B-C50C-407E-A947-70E740481C1C}">
                          <a14:useLocalDpi xmlns:a14="http://schemas.microsoft.com/office/drawing/2010/main" val="0"/>
                        </a:ext>
                      </a:extLst>
                    </a:blip>
                    <a:srcRect l="-15041" r="-15041"/>
                    <a:stretch>
                      <a:fillRect/>
                    </a:stretch>
                  </pic:blipFill>
                  <pic:spPr>
                    <a:xfrm>
                      <a:off x="0" y="0"/>
                      <a:ext cx="3055816" cy="1326474"/>
                    </a:xfrm>
                    <a:prstGeom prst="rect">
                      <a:avLst/>
                    </a:prstGeom>
                  </pic:spPr>
                </pic:pic>
              </a:graphicData>
            </a:graphic>
          </wp:inline>
        </w:drawing>
      </w:r>
    </w:p>
    <w:p w14:paraId="55F4570D" w14:textId="46ABA690" w:rsidR="00B1462C" w:rsidRDefault="00B1462C" w:rsidP="00B1462C">
      <w:r>
        <w:rPr>
          <w:rStyle w:val="IntenseEmphasis"/>
        </w:rPr>
        <w:t xml:space="preserve">Media: </w:t>
      </w:r>
      <w:r w:rsidRPr="00632F9C">
        <w:t>Watch th</w:t>
      </w:r>
      <w:r w:rsidR="00A64685">
        <w:t>ese</w:t>
      </w:r>
      <w:r w:rsidRPr="00632F9C">
        <w:t xml:space="preserve"> </w:t>
      </w:r>
      <w:hyperlink r:id="rId18" w:tooltip="video example" w:history="1">
        <w:r w:rsidRPr="00574798">
          <w:rPr>
            <w:rStyle w:val="Hyperlink"/>
          </w:rPr>
          <w:t>video</w:t>
        </w:r>
      </w:hyperlink>
      <w:r w:rsidR="00A64685">
        <w:rPr>
          <w:rStyle w:val="Hyperlink"/>
        </w:rPr>
        <w:t>1</w:t>
      </w:r>
      <w:r w:rsidRPr="00632F9C">
        <w:t xml:space="preserve"> </w:t>
      </w:r>
      <w:r w:rsidR="00A64685">
        <w:t xml:space="preserve">and </w:t>
      </w:r>
      <w:hyperlink r:id="rId19" w:tooltip="video example" w:history="1">
        <w:r w:rsidR="00A64685" w:rsidRPr="00171462">
          <w:rPr>
            <w:rStyle w:val="Hyperlink"/>
          </w:rPr>
          <w:t>video2</w:t>
        </w:r>
      </w:hyperlink>
      <w:r w:rsidR="00A64685">
        <w:t xml:space="preserve"> </w:t>
      </w:r>
      <w:r w:rsidRPr="00632F9C">
        <w:t>example</w:t>
      </w:r>
      <w:r w:rsidR="00A64685">
        <w:t>s</w:t>
      </w:r>
      <w:r w:rsidRPr="00632F9C">
        <w:t xml:space="preserve"> on </w:t>
      </w:r>
      <w:r w:rsidR="00A64685">
        <w:t>approximating area with left and right endpoints</w:t>
      </w:r>
      <w:r w:rsidRPr="00632F9C">
        <w:t>.</w:t>
      </w:r>
    </w:p>
    <w:p w14:paraId="031703B4" w14:textId="77777777" w:rsidR="0016059C" w:rsidRDefault="0021442E" w:rsidP="00103061">
      <w:pPr>
        <w:rPr>
          <w:rFonts w:eastAsiaTheme="minorEastAsia"/>
        </w:rPr>
      </w:pPr>
      <w:r w:rsidRPr="0021442E">
        <w:rPr>
          <w:rStyle w:val="IntenseEmphasis"/>
        </w:rPr>
        <w:t>Example</w:t>
      </w:r>
      <w:r w:rsidR="0016059C">
        <w:rPr>
          <w:rStyle w:val="IntenseEmphasis"/>
        </w:rPr>
        <w:t>s</w:t>
      </w:r>
      <w:r w:rsidRPr="00103061">
        <w:rPr>
          <w:rFonts w:eastAsiaTheme="minorEastAsia"/>
        </w:rPr>
        <w:t xml:space="preserve"> </w:t>
      </w:r>
    </w:p>
    <w:p w14:paraId="37D8F884" w14:textId="12FF5A54" w:rsidR="00B4684B" w:rsidRPr="0016059C" w:rsidRDefault="0021442E" w:rsidP="0016059C">
      <w:pPr>
        <w:pStyle w:val="ListParagraph"/>
        <w:numPr>
          <w:ilvl w:val="0"/>
          <w:numId w:val="42"/>
        </w:numPr>
        <w:rPr>
          <w:b/>
          <w:i/>
          <w:iCs/>
          <w:color w:val="00704A" w:themeColor="text2"/>
          <w:spacing w:val="4"/>
          <w:sz w:val="26"/>
          <w:szCs w:val="26"/>
        </w:rPr>
      </w:pPr>
      <w:r w:rsidRPr="0016059C">
        <w:rPr>
          <w:rFonts w:eastAsiaTheme="minorEastAsia"/>
        </w:rPr>
        <w:t xml:space="preserve">Use both left-endpoint and right-endpoint approximations to approximate the area under the curve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16059C">
        <w:rPr>
          <w:rFonts w:eastAsiaTheme="minorEastAsia"/>
        </w:rPr>
        <w:t xml:space="preserve"> on the interval </w:t>
      </w:r>
      <m:oMath>
        <m:r>
          <w:rPr>
            <w:rFonts w:ascii="Cambria Math" w:eastAsiaTheme="minorEastAsia" w:hAnsi="Cambria Math"/>
          </w:rPr>
          <m:t>[0,2]</m:t>
        </m:r>
      </m:oMath>
      <w:r w:rsidRPr="0016059C">
        <w:rPr>
          <w:rFonts w:eastAsiaTheme="minorEastAsia"/>
        </w:rPr>
        <w:t xml:space="preserve">; use </w:t>
      </w:r>
      <m:oMath>
        <m:r>
          <w:rPr>
            <w:rFonts w:ascii="Cambria Math" w:eastAsiaTheme="minorEastAsia" w:hAnsi="Cambria Math"/>
          </w:rPr>
          <m:t>n=4</m:t>
        </m:r>
      </m:oMath>
      <w:r w:rsidRPr="0016059C">
        <w:rPr>
          <w:rFonts w:eastAsiaTheme="minorEastAsia"/>
        </w:rPr>
        <w:t>.</w:t>
      </w:r>
    </w:p>
    <w:p w14:paraId="704E3057" w14:textId="77777777" w:rsidR="00BA670B" w:rsidRDefault="00BA670B">
      <w:pPr>
        <w:spacing w:line="259" w:lineRule="auto"/>
        <w:rPr>
          <w:rFonts w:eastAsiaTheme="minorEastAsia"/>
        </w:rPr>
      </w:pPr>
      <w:r>
        <w:rPr>
          <w:rFonts w:eastAsiaTheme="minorEastAsia"/>
        </w:rPr>
        <w:br w:type="page"/>
      </w:r>
    </w:p>
    <w:p w14:paraId="69390E46" w14:textId="44579DD1" w:rsidR="0016059C" w:rsidRPr="0016059C" w:rsidRDefault="0016059C" w:rsidP="0016059C">
      <w:pPr>
        <w:pStyle w:val="ListParagraph"/>
        <w:numPr>
          <w:ilvl w:val="0"/>
          <w:numId w:val="42"/>
        </w:numPr>
        <w:rPr>
          <w:b/>
          <w:i/>
          <w:iCs/>
          <w:color w:val="00704A" w:themeColor="text2"/>
          <w:spacing w:val="4"/>
          <w:sz w:val="26"/>
          <w:szCs w:val="26"/>
        </w:rPr>
      </w:pPr>
      <w:r>
        <w:rPr>
          <w:rFonts w:eastAsiaTheme="minorEastAsia"/>
        </w:rPr>
        <w:lastRenderedPageBreak/>
        <w:t xml:space="preserve">Estimate the area under the curve by computing the left Riemann sum,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8</m:t>
            </m:r>
          </m:sub>
        </m:sSub>
      </m:oMath>
      <w:r>
        <w:rPr>
          <w:rFonts w:eastAsiaTheme="minorEastAsia"/>
        </w:rPr>
        <w:t>.</w:t>
      </w:r>
    </w:p>
    <w:p w14:paraId="4A789257" w14:textId="63789705" w:rsidR="00D258EA" w:rsidRPr="0016059C" w:rsidRDefault="0016059C" w:rsidP="0016059C">
      <w:pPr>
        <w:rPr>
          <w:b/>
          <w:i/>
          <w:iCs/>
          <w:color w:val="00704A" w:themeColor="text2"/>
          <w:spacing w:val="4"/>
          <w:sz w:val="26"/>
          <w:szCs w:val="26"/>
        </w:rPr>
      </w:pPr>
      <w:r>
        <w:rPr>
          <w:noProof/>
        </w:rPr>
        <w:drawing>
          <wp:inline distT="0" distB="0" distL="0" distR="0" wp14:anchorId="2DB29174" wp14:editId="2FD5ED4F">
            <wp:extent cx="3327400" cy="2628900"/>
            <wp:effectExtent l="0" t="0" r="6350" b="0"/>
            <wp:docPr id="9" name="Picture 9" descr="The graph of a smooth curve going through the points (0,3), (1,2), (2,1), (3,2), (4,3), (5,4), (6,5), (7,4), and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aph of a smooth curve going through the points (0,3), (1,2), (2,1), (3,2), (4,3), (5,4), (6,5), (7,4), and (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0" cy="2628900"/>
                    </a:xfrm>
                    <a:prstGeom prst="rect">
                      <a:avLst/>
                    </a:prstGeom>
                    <a:noFill/>
                    <a:ln>
                      <a:noFill/>
                    </a:ln>
                  </pic:spPr>
                </pic:pic>
              </a:graphicData>
            </a:graphic>
          </wp:inline>
        </w:drawing>
      </w:r>
    </w:p>
    <w:p w14:paraId="261F5B65" w14:textId="43BAB76A" w:rsidR="00D258EA" w:rsidRDefault="00D258EA" w:rsidP="00D258EA">
      <w:pPr>
        <w:pStyle w:val="Heading2"/>
        <w:rPr>
          <w:rFonts w:eastAsiaTheme="minorEastAsia"/>
        </w:rPr>
      </w:pPr>
      <w:r>
        <w:rPr>
          <w:rFonts w:eastAsiaTheme="minorEastAsia"/>
        </w:rPr>
        <w:t>Forming Riemann Sums</w:t>
      </w:r>
    </w:p>
    <w:p w14:paraId="6D1B2596" w14:textId="57F155AD" w:rsidR="00D258EA" w:rsidRDefault="00BA670B" w:rsidP="00103061">
      <w:pPr>
        <w:rPr>
          <w:rFonts w:eastAsiaTheme="minorEastAsia"/>
        </w:rPr>
      </w:pPr>
      <w:r>
        <w:rPr>
          <w:rFonts w:eastAsiaTheme="minorEastAsia"/>
        </w:rPr>
        <w:t>T</w:t>
      </w:r>
      <w:r w:rsidR="00B31557">
        <w:rPr>
          <w:rFonts w:eastAsiaTheme="minorEastAsia"/>
        </w:rPr>
        <w:t xml:space="preserve">here is no reason to restrict evaluation of the function to one of the two </w:t>
      </w:r>
      <w:r>
        <w:rPr>
          <w:rFonts w:eastAsiaTheme="minorEastAsia"/>
        </w:rPr>
        <w:t>end</w:t>
      </w:r>
      <w:r w:rsidR="00B31557">
        <w:rPr>
          <w:rFonts w:eastAsiaTheme="minorEastAsia"/>
        </w:rPr>
        <w:t>points only.</w:t>
      </w:r>
    </w:p>
    <w:p w14:paraId="2C25412D" w14:textId="6CD38556" w:rsidR="00B31557" w:rsidRDefault="00B31557" w:rsidP="00B31557">
      <w:pPr>
        <w:pStyle w:val="Quote"/>
      </w:pPr>
      <w:r>
        <w:t xml:space="preserve">Let </w:t>
      </w:r>
      <m:oMath>
        <m:r>
          <w:rPr>
            <w:rFonts w:ascii="Cambria Math" w:hAnsi="Cambria Math"/>
          </w:rPr>
          <m:t>f(x)</m:t>
        </m:r>
      </m:oMath>
      <w:r>
        <w:t xml:space="preserve"> be defined on a closed interval </w:t>
      </w:r>
      <m:oMath>
        <m:r>
          <w:rPr>
            <w:rFonts w:ascii="Cambria Math" w:hAnsi="Cambria Math"/>
          </w:rPr>
          <m:t>[a,b]</m:t>
        </m:r>
      </m:oMath>
      <w:r>
        <w:t xml:space="preserve"> and let </w:t>
      </w:r>
      <m:oMath>
        <m:r>
          <w:rPr>
            <w:rFonts w:ascii="Cambria Math" w:hAnsi="Cambria Math"/>
          </w:rPr>
          <m:t>P</m:t>
        </m:r>
      </m:oMath>
      <w:r>
        <w:t xml:space="preserve"> be a regular partition of </w:t>
      </w:r>
      <m:oMath>
        <m:r>
          <w:rPr>
            <w:rFonts w:ascii="Cambria Math" w:hAnsi="Cambria Math"/>
          </w:rPr>
          <m:t>[a,b]</m:t>
        </m:r>
      </m:oMath>
      <w:r>
        <w:t xml:space="preserve">. Let </w:t>
      </w:r>
      <m:oMath>
        <m:r>
          <w:rPr>
            <w:rFonts w:ascii="Cambria Math" w:hAnsi="Cambria Math"/>
          </w:rPr>
          <m:t>∆x</m:t>
        </m:r>
      </m:oMath>
      <w:r>
        <w:t xml:space="preserve"> be the width of each subinterval </w:t>
      </w:r>
      <m:oMath>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for each </w:t>
      </w:r>
      <m:oMath>
        <m:r>
          <w:rPr>
            <w:rFonts w:ascii="Cambria Math" w:hAnsi="Cambria Math"/>
          </w:rPr>
          <m:t>i</m:t>
        </m:r>
      </m:oMath>
      <w:r>
        <w:t xml:space="preserve">, let </w:t>
      </w:r>
      <m:oMath>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be any point in </w:t>
      </w:r>
      <m:oMath>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i</m:t>
            </m:r>
          </m:sub>
        </m:sSub>
        <m:r>
          <w:rPr>
            <w:rFonts w:ascii="Cambria Math" w:hAnsi="Cambria Math"/>
          </w:rPr>
          <m:t>]</m:t>
        </m:r>
      </m:oMath>
      <w:r>
        <w:t xml:space="preserve">. A </w:t>
      </w:r>
      <w:r w:rsidRPr="00B31557">
        <w:rPr>
          <w:rStyle w:val="Strong"/>
        </w:rPr>
        <w:t>Riemann sum</w:t>
      </w:r>
      <w:r>
        <w:t xml:space="preserve"> is defined for </w:t>
      </w:r>
      <m:oMath>
        <m:r>
          <w:rPr>
            <w:rFonts w:ascii="Cambria Math" w:hAnsi="Cambria Math"/>
          </w:rPr>
          <m:t>f(x)</m:t>
        </m:r>
      </m:oMath>
      <w:r>
        <w:t xml:space="preserve"> as </w:t>
      </w:r>
    </w:p>
    <w:p w14:paraId="09AF34AC" w14:textId="0BE5C757" w:rsidR="00B31557" w:rsidRDefault="005C4281" w:rsidP="00BA670B">
      <w:pPr>
        <w:pStyle w:val="Quote"/>
        <w:jc w:val="center"/>
      </w:pPr>
      <m:oMath>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n</m:t>
            </m:r>
          </m:sup>
          <m:e>
            <m:r>
              <w:rPr>
                <w:rFonts w:ascii="Cambria Math" w:hAnsi="Cambria Math"/>
              </w:rPr>
              <m:t>f(</m:t>
            </m:r>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∆x</m:t>
        </m:r>
      </m:oMath>
      <w:r w:rsidR="00BA670B">
        <w:rPr>
          <w:rFonts w:eastAsiaTheme="minorEastAsia"/>
        </w:rPr>
        <w:t xml:space="preserve"> </w:t>
      </w:r>
    </w:p>
    <w:p w14:paraId="11A5D1EE" w14:textId="39BC25DC" w:rsidR="00B31557" w:rsidRDefault="003E4BA8" w:rsidP="00103061">
      <w:pPr>
        <w:rPr>
          <w:rFonts w:eastAsiaTheme="minorEastAsia"/>
        </w:rPr>
      </w:pPr>
      <w:r>
        <w:rPr>
          <w:rFonts w:eastAsiaTheme="minorEastAsia"/>
        </w:rPr>
        <w:t xml:space="preserve">Recall that with the left- and right-endpoint approximations, the estimates seem to get better and better as </w:t>
      </w:r>
      <m:oMath>
        <m:r>
          <w:rPr>
            <w:rFonts w:ascii="Cambria Math" w:eastAsiaTheme="minorEastAsia" w:hAnsi="Cambria Math"/>
          </w:rPr>
          <m:t>n</m:t>
        </m:r>
      </m:oMath>
      <w:r>
        <w:rPr>
          <w:rFonts w:eastAsiaTheme="minorEastAsia"/>
        </w:rPr>
        <w:t xml:space="preserve"> gets larger and larger. The same thing happens with Riemann sums. Riemann sums give better approximations for larger values of </w:t>
      </w:r>
      <m:oMath>
        <m:r>
          <w:rPr>
            <w:rFonts w:ascii="Cambria Math" w:eastAsiaTheme="minorEastAsia" w:hAnsi="Cambria Math"/>
          </w:rPr>
          <m:t>n</m:t>
        </m:r>
      </m:oMath>
      <w:r>
        <w:rPr>
          <w:rFonts w:eastAsiaTheme="minorEastAsia"/>
        </w:rPr>
        <w:t>.</w:t>
      </w:r>
    </w:p>
    <w:p w14:paraId="46E447C2" w14:textId="4FF256D3" w:rsidR="003E4BA8" w:rsidRDefault="003E4BA8" w:rsidP="003E4BA8">
      <w:pPr>
        <w:pStyle w:val="Quote"/>
      </w:pPr>
      <w:r>
        <w:t xml:space="preserve">Let </w:t>
      </w:r>
      <m:oMath>
        <m:r>
          <w:rPr>
            <w:rFonts w:ascii="Cambria Math" w:hAnsi="Cambria Math"/>
          </w:rPr>
          <m:t>f(x)</m:t>
        </m:r>
      </m:oMath>
      <w:r>
        <w:t xml:space="preserve"> be a continuous, nonnegative function on an interval </w:t>
      </w:r>
      <m:oMath>
        <m:r>
          <w:rPr>
            <w:rFonts w:ascii="Cambria Math" w:hAnsi="Cambria Math"/>
          </w:rPr>
          <m:t>[a,b]</m:t>
        </m:r>
      </m:oMath>
      <w:r>
        <w:t xml:space="preserve">, and let </w:t>
      </w:r>
      <m:oMath>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n</m:t>
            </m:r>
          </m:sup>
          <m:e>
            <m:r>
              <w:rPr>
                <w:rFonts w:ascii="Cambria Math" w:hAnsi="Cambria Math"/>
              </w:rPr>
              <m:t>f(</m:t>
            </m:r>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∆x</m:t>
        </m:r>
      </m:oMath>
      <w:r>
        <w:t xml:space="preserve"> be a Riemann sum for </w:t>
      </w:r>
      <m:oMath>
        <m:r>
          <w:rPr>
            <w:rFonts w:ascii="Cambria Math" w:hAnsi="Cambria Math"/>
          </w:rPr>
          <m:t>f(x)</m:t>
        </m:r>
      </m:oMath>
      <w:r>
        <w:t xml:space="preserve">. Then, the </w:t>
      </w:r>
      <w:r w:rsidRPr="003E4BA8">
        <w:rPr>
          <w:rStyle w:val="Strong"/>
        </w:rPr>
        <w:t>area under the curve</w:t>
      </w:r>
      <w:r>
        <w:t xml:space="preserve"> </w:t>
      </w:r>
      <m:oMath>
        <m:r>
          <w:rPr>
            <w:rFonts w:ascii="Cambria Math" w:hAnsi="Cambria Math"/>
          </w:rPr>
          <m:t>y=f(x)</m:t>
        </m:r>
      </m:oMath>
      <w:r>
        <w:t xml:space="preserve"> on </w:t>
      </w:r>
      <m:oMath>
        <m:r>
          <w:rPr>
            <w:rFonts w:ascii="Cambria Math" w:hAnsi="Cambria Math"/>
          </w:rPr>
          <m:t>[a,b]</m:t>
        </m:r>
      </m:oMath>
      <w:r>
        <w:t xml:space="preserve"> is given by</w:t>
      </w:r>
    </w:p>
    <w:p w14:paraId="1EF9AAF4" w14:textId="21AA2CD7" w:rsidR="003E4BA8" w:rsidRPr="003E4BA8" w:rsidRDefault="003E4BA8" w:rsidP="00BA670B">
      <w:pPr>
        <w:pStyle w:val="Quote"/>
        <w:jc w:val="center"/>
      </w:pPr>
      <m:oMath>
        <m:r>
          <w:rPr>
            <w:rFonts w:ascii="Cambria Math" w:hAnsi="Cambria Math"/>
          </w:rPr>
          <m:t>A=</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n</m:t>
                </m:r>
              </m:sup>
              <m:e>
                <m:r>
                  <w:rPr>
                    <w:rFonts w:ascii="Cambria Math" w:hAnsi="Cambria Math"/>
                  </w:rPr>
                  <m:t>f(</m:t>
                </m:r>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∆x</m:t>
            </m:r>
          </m:e>
        </m:func>
      </m:oMath>
      <w:r w:rsidR="00BA670B">
        <w:rPr>
          <w:rFonts w:eastAsiaTheme="minorEastAsia"/>
        </w:rPr>
        <w:t xml:space="preserve"> </w:t>
      </w:r>
    </w:p>
    <w:p w14:paraId="02053DD2" w14:textId="76D69FDE" w:rsidR="003E4BA8" w:rsidRDefault="0016059C" w:rsidP="00103061">
      <w:pPr>
        <w:rPr>
          <w:rFonts w:eastAsiaTheme="minorEastAsia"/>
        </w:rPr>
      </w:pPr>
      <w:r>
        <w:rPr>
          <w:rFonts w:eastAsiaTheme="minorEastAsia"/>
        </w:rPr>
        <w:t xml:space="preserve">Although any choice for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oMath>
      <w:r>
        <w:rPr>
          <w:rFonts w:eastAsiaTheme="minorEastAsia"/>
        </w:rPr>
        <w:t xml:space="preserve"> gives us an estimate of the area under the curve, we don’t necessarily know whether that estimate is too high (overestimate) or too low (underestimate). We can select our value for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oMath>
      <w:r>
        <w:rPr>
          <w:rFonts w:eastAsiaTheme="minorEastAsia"/>
        </w:rPr>
        <w:t xml:space="preserve"> to guarantee one result over another. </w:t>
      </w:r>
    </w:p>
    <w:p w14:paraId="22C011D1" w14:textId="49884AF5" w:rsidR="0016059C" w:rsidRDefault="00512D84" w:rsidP="00512D84">
      <w:pPr>
        <w:pStyle w:val="Quote"/>
        <w:rPr>
          <w:rFonts w:eastAsiaTheme="minorEastAsia"/>
        </w:rPr>
      </w:pPr>
      <w:r>
        <w:rPr>
          <w:rFonts w:eastAsiaTheme="minorEastAsia"/>
        </w:rPr>
        <w:t xml:space="preserve">If we want an overestimate, we can choose </w:t>
      </w:r>
      <m:oMath>
        <m:d>
          <m:dPr>
            <m:begChr m:val="{"/>
            <m:endChr m:val="}"/>
            <m:ctrlPr>
              <w:rPr>
                <w:rFonts w:ascii="Cambria Math" w:hAnsi="Cambria Math"/>
                <w:i/>
                <w:noProof w:val="0"/>
              </w:rPr>
            </m:ctrlPr>
          </m:dPr>
          <m:e>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e>
        </m:d>
      </m:oMath>
      <w:r>
        <w:rPr>
          <w:rFonts w:eastAsiaTheme="minorEastAsia"/>
        </w:rPr>
        <w:t xml:space="preserve"> such that for </w:t>
      </w:r>
      <m:oMath>
        <m:r>
          <w:rPr>
            <w:rFonts w:ascii="Cambria Math" w:eastAsiaTheme="minorEastAsia" w:hAnsi="Cambria Math"/>
          </w:rPr>
          <m:t>i=1, 2, 3, …, n, f(</m:t>
        </m:r>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eastAsiaTheme="minorEastAsia" w:hAnsi="Cambria Math"/>
          </w:rPr>
          <m:t>)≥f(x)</m:t>
        </m:r>
      </m:oMath>
      <w:r>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noProof w:val="0"/>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If we select </w:t>
      </w:r>
      <m:oMath>
        <m:d>
          <m:dPr>
            <m:begChr m:val="{"/>
            <m:endChr m:val="}"/>
            <m:ctrlPr>
              <w:rPr>
                <w:rFonts w:ascii="Cambria Math" w:hAnsi="Cambria Math"/>
                <w:i/>
                <w:noProof w:val="0"/>
              </w:rPr>
            </m:ctrlPr>
          </m:dPr>
          <m:e>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e>
        </m:d>
      </m:oMath>
      <w:r>
        <w:rPr>
          <w:rFonts w:eastAsiaTheme="minorEastAsia"/>
        </w:rPr>
        <w:t xml:space="preserve"> in this way, then the Riemann sum  is called an </w:t>
      </w:r>
      <w:r w:rsidRPr="00512D84">
        <w:rPr>
          <w:rStyle w:val="Strong"/>
        </w:rPr>
        <w:t>upper sum</w:t>
      </w:r>
      <w:r>
        <w:rPr>
          <w:rFonts w:eastAsiaTheme="minorEastAsia"/>
        </w:rPr>
        <w:t>.</w:t>
      </w:r>
    </w:p>
    <w:p w14:paraId="2E9A2DC1" w14:textId="6657A803" w:rsidR="00512D84" w:rsidRDefault="00512D84" w:rsidP="00512D84">
      <w:pPr>
        <w:pStyle w:val="Quote"/>
        <w:rPr>
          <w:rFonts w:eastAsiaTheme="minorEastAsia"/>
        </w:rPr>
      </w:pPr>
      <w:r>
        <w:rPr>
          <w:rFonts w:eastAsiaTheme="minorEastAsia"/>
        </w:rPr>
        <w:t xml:space="preserve">If we want an underestimate, we can choose </w:t>
      </w:r>
      <m:oMath>
        <m:d>
          <m:dPr>
            <m:begChr m:val="{"/>
            <m:endChr m:val="}"/>
            <m:ctrlPr>
              <w:rPr>
                <w:rFonts w:ascii="Cambria Math" w:hAnsi="Cambria Math"/>
                <w:i/>
                <w:noProof w:val="0"/>
              </w:rPr>
            </m:ctrlPr>
          </m:dPr>
          <m:e>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e>
        </m:d>
      </m:oMath>
      <w:r>
        <w:rPr>
          <w:rFonts w:eastAsiaTheme="minorEastAsia"/>
        </w:rPr>
        <w:t xml:space="preserve"> such that for </w:t>
      </w:r>
      <m:oMath>
        <m:r>
          <w:rPr>
            <w:rFonts w:ascii="Cambria Math" w:eastAsiaTheme="minorEastAsia" w:hAnsi="Cambria Math"/>
          </w:rPr>
          <m:t>i=1, 2, 3, …, n, f(</m:t>
        </m:r>
        <m:sSubSup>
          <m:sSubSupPr>
            <m:ctrlPr>
              <w:rPr>
                <w:rFonts w:ascii="Cambria Math" w:hAnsi="Cambria Math"/>
                <w:i/>
                <w:noProof w:val="0"/>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eastAsiaTheme="minorEastAsia" w:hAnsi="Cambria Math"/>
          </w:rPr>
          <m:t>)</m:t>
        </m:r>
      </m:oMath>
      <w:r>
        <w:rPr>
          <w:rFonts w:eastAsiaTheme="minorEastAsia"/>
        </w:rPr>
        <w:t xml:space="preserve"> is the minimum function value on the interval </w:t>
      </w:r>
      <m:oMath>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In this case, the the Riemann sum is called a </w:t>
      </w:r>
      <w:r w:rsidRPr="00512D84">
        <w:rPr>
          <w:rStyle w:val="Strong"/>
        </w:rPr>
        <w:t>lower sum</w:t>
      </w:r>
      <w:r>
        <w:rPr>
          <w:rFonts w:eastAsiaTheme="minorEastAsia"/>
        </w:rPr>
        <w:t>.</w:t>
      </w:r>
    </w:p>
    <w:p w14:paraId="615E88BF" w14:textId="77777777" w:rsidR="00BA670B" w:rsidRDefault="00BA670B">
      <w:pPr>
        <w:spacing w:line="259" w:lineRule="auto"/>
        <w:rPr>
          <w:rStyle w:val="IntenseEmphasis"/>
        </w:rPr>
      </w:pPr>
      <w:r>
        <w:rPr>
          <w:rStyle w:val="IntenseEmphasis"/>
        </w:rPr>
        <w:br w:type="page"/>
      </w:r>
    </w:p>
    <w:p w14:paraId="478347BE" w14:textId="19611B1A" w:rsidR="00CA0321" w:rsidRDefault="00CA0321" w:rsidP="00CA0321">
      <w:r>
        <w:rPr>
          <w:rStyle w:val="IntenseEmphasis"/>
        </w:rPr>
        <w:lastRenderedPageBreak/>
        <w:t xml:space="preserve">Media: </w:t>
      </w:r>
      <w:r w:rsidRPr="00632F9C">
        <w:t xml:space="preserve">Watch this </w:t>
      </w:r>
      <w:hyperlink r:id="rId21" w:tooltip="video example" w:history="1">
        <w:r w:rsidR="00923D0D" w:rsidRPr="00C85C52">
          <w:rPr>
            <w:rStyle w:val="Hyperlink"/>
          </w:rPr>
          <w:t>video</w:t>
        </w:r>
      </w:hyperlink>
      <w:r w:rsidR="00923D0D">
        <w:t xml:space="preserve"> </w:t>
      </w:r>
      <w:r w:rsidRPr="00632F9C">
        <w:t xml:space="preserve">example on </w:t>
      </w:r>
      <w:r w:rsidR="00C142C1">
        <w:t>Reimann sum with a graph</w:t>
      </w:r>
      <w:r w:rsidRPr="00632F9C">
        <w:t>.</w:t>
      </w:r>
    </w:p>
    <w:p w14:paraId="1C2B4DA5" w14:textId="60EF9482" w:rsidR="00CA0321" w:rsidRDefault="00CA0321" w:rsidP="00CA0321">
      <w:r>
        <w:rPr>
          <w:rStyle w:val="IntenseEmphasis"/>
        </w:rPr>
        <w:t xml:space="preserve">Media: </w:t>
      </w:r>
      <w:r w:rsidRPr="00632F9C">
        <w:t>Watch th</w:t>
      </w:r>
      <w:r w:rsidR="00585718">
        <w:t>ese</w:t>
      </w:r>
      <w:r w:rsidRPr="00632F9C">
        <w:t xml:space="preserve"> </w:t>
      </w:r>
      <w:hyperlink r:id="rId22" w:history="1">
        <w:r w:rsidR="005C4281" w:rsidRPr="005C4281">
          <w:rPr>
            <w:rStyle w:val="Hyperlink"/>
          </w:rPr>
          <w:t>video1</w:t>
        </w:r>
      </w:hyperlink>
      <w:r w:rsidR="005C4281">
        <w:t xml:space="preserve"> </w:t>
      </w:r>
      <w:r w:rsidR="00585718">
        <w:t xml:space="preserve">and </w:t>
      </w:r>
      <w:hyperlink r:id="rId23" w:tooltip="video example" w:history="1">
        <w:r w:rsidR="00585718" w:rsidRPr="00923D0D">
          <w:rPr>
            <w:rStyle w:val="Hyperlink"/>
          </w:rPr>
          <w:t>video 2</w:t>
        </w:r>
      </w:hyperlink>
      <w:r w:rsidR="00585718">
        <w:t xml:space="preserve"> </w:t>
      </w:r>
      <w:r w:rsidRPr="00632F9C">
        <w:t>example</w:t>
      </w:r>
      <w:r w:rsidR="00585718">
        <w:t>s</w:t>
      </w:r>
      <w:r w:rsidRPr="00632F9C">
        <w:t xml:space="preserve"> on </w:t>
      </w:r>
      <w:r w:rsidR="00585718">
        <w:t>Reimann sums with different functions</w:t>
      </w:r>
      <w:r w:rsidRPr="00632F9C">
        <w:t>.</w:t>
      </w:r>
    </w:p>
    <w:p w14:paraId="0790F818" w14:textId="6070C5BB" w:rsidR="00512D84" w:rsidRPr="00512D84" w:rsidRDefault="00512D84" w:rsidP="00512D84">
      <w:pPr>
        <w:rPr>
          <w:b/>
          <w:i/>
          <w:iCs/>
          <w:color w:val="00704A" w:themeColor="text2"/>
          <w:spacing w:val="4"/>
          <w:sz w:val="26"/>
          <w:szCs w:val="26"/>
        </w:rPr>
      </w:pPr>
      <w:r>
        <w:rPr>
          <w:rStyle w:val="IntenseEmphasis"/>
        </w:rPr>
        <w:t xml:space="preserve">Example: </w:t>
      </w:r>
      <w:r w:rsidRPr="00512D84">
        <w:rPr>
          <w:rFonts w:eastAsiaTheme="minorEastAsia"/>
        </w:rPr>
        <w:t xml:space="preserve">Find a lower sum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512D84">
        <w:rPr>
          <w:rFonts w:eastAsiaTheme="minorEastAsia"/>
        </w:rPr>
        <w:t xml:space="preserve"> on </w:t>
      </w:r>
      <m:oMath>
        <m:r>
          <w:rPr>
            <w:rFonts w:ascii="Cambria Math" w:eastAsiaTheme="minorEastAsia" w:hAnsi="Cambria Math"/>
          </w:rPr>
          <m:t>[1,2]</m:t>
        </m:r>
      </m:oMath>
      <w:r w:rsidRPr="00512D84">
        <w:rPr>
          <w:rFonts w:eastAsiaTheme="minorEastAsia"/>
        </w:rPr>
        <w:t xml:space="preserve">; let </w:t>
      </w:r>
      <m:oMath>
        <m:r>
          <w:rPr>
            <w:rFonts w:ascii="Cambria Math" w:eastAsiaTheme="minorEastAsia" w:hAnsi="Cambria Math"/>
          </w:rPr>
          <m:t>n=4</m:t>
        </m:r>
      </m:oMath>
      <w:r w:rsidRPr="00512D84">
        <w:rPr>
          <w:rFonts w:eastAsiaTheme="minorEastAsia"/>
        </w:rPr>
        <w:t xml:space="preserve"> subintervals.</w:t>
      </w:r>
    </w:p>
    <w:p w14:paraId="379F0497" w14:textId="2D6FF529" w:rsidR="0021442E" w:rsidRDefault="0021442E" w:rsidP="00B4684B">
      <w:pPr>
        <w:pStyle w:val="ListParagraph"/>
        <w:rPr>
          <w:rFonts w:eastAsiaTheme="minorEastAsia"/>
        </w:rPr>
      </w:pPr>
    </w:p>
    <w:p w14:paraId="3B1CECB4" w14:textId="77777777" w:rsidR="0021442E" w:rsidRDefault="0021442E" w:rsidP="00B4684B">
      <w:pPr>
        <w:pStyle w:val="ListParagraph"/>
        <w:rPr>
          <w:rFonts w:eastAsiaTheme="minorEastAsia"/>
        </w:rPr>
      </w:pPr>
    </w:p>
    <w:p w14:paraId="60931ED9" w14:textId="77777777" w:rsidR="00B4684B" w:rsidRDefault="00B4684B" w:rsidP="00B4684B">
      <w:pPr>
        <w:pStyle w:val="ListParagraph"/>
        <w:rPr>
          <w:rFonts w:eastAsiaTheme="minorEastAsia"/>
        </w:rPr>
      </w:pPr>
    </w:p>
    <w:p w14:paraId="6FFFA4AB" w14:textId="77777777" w:rsidR="00B4684B" w:rsidRDefault="00B4684B" w:rsidP="00B4684B">
      <w:pPr>
        <w:pStyle w:val="ListParagraph"/>
        <w:rPr>
          <w:rFonts w:eastAsiaTheme="minorEastAsia"/>
        </w:rPr>
      </w:pPr>
    </w:p>
    <w:p w14:paraId="343C030E" w14:textId="77777777" w:rsidR="00B4684B" w:rsidRDefault="00B4684B" w:rsidP="00B4684B">
      <w:pPr>
        <w:pStyle w:val="ListParagraph"/>
        <w:rPr>
          <w:rFonts w:eastAsiaTheme="minorEastAsia"/>
        </w:rPr>
      </w:pPr>
    </w:p>
    <w:p w14:paraId="6F718EFF" w14:textId="77777777" w:rsidR="00B4684B" w:rsidRPr="006B58C8" w:rsidRDefault="00B4684B" w:rsidP="00B4684B">
      <w:pPr>
        <w:pStyle w:val="ListParagraph"/>
      </w:pPr>
    </w:p>
    <w:sectPr w:rsidR="00B4684B" w:rsidRPr="006B58C8"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F6216" w14:textId="77777777" w:rsidR="002505BF" w:rsidRDefault="002505BF" w:rsidP="00D61F23">
      <w:pPr>
        <w:spacing w:after="0"/>
      </w:pPr>
      <w:r>
        <w:separator/>
      </w:r>
    </w:p>
  </w:endnote>
  <w:endnote w:type="continuationSeparator" w:id="0">
    <w:p w14:paraId="7C9314BE" w14:textId="77777777" w:rsidR="002505BF" w:rsidRDefault="002505BF" w:rsidP="00D61F23">
      <w:pPr>
        <w:spacing w:after="0"/>
      </w:pPr>
      <w:r>
        <w:continuationSeparator/>
      </w:r>
    </w:p>
  </w:endnote>
  <w:endnote w:type="continuationNotice" w:id="1">
    <w:p w14:paraId="70BA5EA4" w14:textId="77777777" w:rsidR="002505BF" w:rsidRDefault="002505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84C6A" w14:textId="77777777" w:rsidR="002505BF" w:rsidRDefault="002505BF" w:rsidP="00D61F23">
      <w:pPr>
        <w:spacing w:after="0"/>
      </w:pPr>
      <w:r>
        <w:separator/>
      </w:r>
    </w:p>
  </w:footnote>
  <w:footnote w:type="continuationSeparator" w:id="0">
    <w:p w14:paraId="36C34A6C" w14:textId="77777777" w:rsidR="002505BF" w:rsidRDefault="002505BF" w:rsidP="00D61F23">
      <w:pPr>
        <w:spacing w:after="0"/>
      </w:pPr>
      <w:r>
        <w:continuationSeparator/>
      </w:r>
    </w:p>
  </w:footnote>
  <w:footnote w:type="continuationNotice" w:id="1">
    <w:p w14:paraId="2830BAD5" w14:textId="77777777" w:rsidR="002505BF" w:rsidRDefault="002505B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55DA"/>
    <w:multiLevelType w:val="hybridMultilevel"/>
    <w:tmpl w:val="3E581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501C0E"/>
    <w:multiLevelType w:val="hybridMultilevel"/>
    <w:tmpl w:val="280EE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20071A"/>
    <w:multiLevelType w:val="hybridMultilevel"/>
    <w:tmpl w:val="D05A89C6"/>
    <w:lvl w:ilvl="0" w:tplc="31ECB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D60E4"/>
    <w:multiLevelType w:val="hybridMultilevel"/>
    <w:tmpl w:val="7B34D7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BE6B21"/>
    <w:multiLevelType w:val="hybridMultilevel"/>
    <w:tmpl w:val="99CC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212F80"/>
    <w:multiLevelType w:val="hybridMultilevel"/>
    <w:tmpl w:val="E3549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EB598B"/>
    <w:multiLevelType w:val="hybridMultilevel"/>
    <w:tmpl w:val="A100F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1C5796"/>
    <w:multiLevelType w:val="hybridMultilevel"/>
    <w:tmpl w:val="1D3E2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601D43"/>
    <w:multiLevelType w:val="hybridMultilevel"/>
    <w:tmpl w:val="DEDC28E0"/>
    <w:lvl w:ilvl="0" w:tplc="5CAC9E00">
      <w:start w:val="1"/>
      <w:numFmt w:val="decimal"/>
      <w:lvlText w:val="%1)"/>
      <w:lvlJc w:val="left"/>
      <w:pPr>
        <w:ind w:left="720" w:hanging="360"/>
      </w:pPr>
      <w:rPr>
        <w:rFonts w:eastAsiaTheme="minorEastAsia"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0C2542"/>
    <w:multiLevelType w:val="hybridMultilevel"/>
    <w:tmpl w:val="5BEAB564"/>
    <w:lvl w:ilvl="0" w:tplc="25A0B25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10"/>
  </w:num>
  <w:num w:numId="4">
    <w:abstractNumId w:val="2"/>
  </w:num>
  <w:num w:numId="5">
    <w:abstractNumId w:val="26"/>
  </w:num>
  <w:num w:numId="6">
    <w:abstractNumId w:val="36"/>
  </w:num>
  <w:num w:numId="7">
    <w:abstractNumId w:val="43"/>
  </w:num>
  <w:num w:numId="8">
    <w:abstractNumId w:val="7"/>
  </w:num>
  <w:num w:numId="9">
    <w:abstractNumId w:val="20"/>
  </w:num>
  <w:num w:numId="10">
    <w:abstractNumId w:val="30"/>
  </w:num>
  <w:num w:numId="11">
    <w:abstractNumId w:val="1"/>
  </w:num>
  <w:num w:numId="12">
    <w:abstractNumId w:val="17"/>
  </w:num>
  <w:num w:numId="13">
    <w:abstractNumId w:val="14"/>
  </w:num>
  <w:num w:numId="14">
    <w:abstractNumId w:val="5"/>
  </w:num>
  <w:num w:numId="15">
    <w:abstractNumId w:val="44"/>
  </w:num>
  <w:num w:numId="16">
    <w:abstractNumId w:val="28"/>
  </w:num>
  <w:num w:numId="17">
    <w:abstractNumId w:val="13"/>
  </w:num>
  <w:num w:numId="18">
    <w:abstractNumId w:val="24"/>
  </w:num>
  <w:num w:numId="19">
    <w:abstractNumId w:val="8"/>
  </w:num>
  <w:num w:numId="20">
    <w:abstractNumId w:val="6"/>
  </w:num>
  <w:num w:numId="21">
    <w:abstractNumId w:val="23"/>
  </w:num>
  <w:num w:numId="22">
    <w:abstractNumId w:val="32"/>
  </w:num>
  <w:num w:numId="23">
    <w:abstractNumId w:val="21"/>
  </w:num>
  <w:num w:numId="24">
    <w:abstractNumId w:val="4"/>
  </w:num>
  <w:num w:numId="25">
    <w:abstractNumId w:val="33"/>
  </w:num>
  <w:num w:numId="26">
    <w:abstractNumId w:val="39"/>
  </w:num>
  <w:num w:numId="27">
    <w:abstractNumId w:val="42"/>
  </w:num>
  <w:num w:numId="28">
    <w:abstractNumId w:val="3"/>
  </w:num>
  <w:num w:numId="29">
    <w:abstractNumId w:val="37"/>
  </w:num>
  <w:num w:numId="30">
    <w:abstractNumId w:val="19"/>
  </w:num>
  <w:num w:numId="31">
    <w:abstractNumId w:val="15"/>
  </w:num>
  <w:num w:numId="32">
    <w:abstractNumId w:val="25"/>
  </w:num>
  <w:num w:numId="33">
    <w:abstractNumId w:val="34"/>
  </w:num>
  <w:num w:numId="34">
    <w:abstractNumId w:val="27"/>
  </w:num>
  <w:num w:numId="35">
    <w:abstractNumId w:val="18"/>
  </w:num>
  <w:num w:numId="36">
    <w:abstractNumId w:val="29"/>
  </w:num>
  <w:num w:numId="37">
    <w:abstractNumId w:val="31"/>
  </w:num>
  <w:num w:numId="38">
    <w:abstractNumId w:val="38"/>
  </w:num>
  <w:num w:numId="39">
    <w:abstractNumId w:val="41"/>
  </w:num>
  <w:num w:numId="40">
    <w:abstractNumId w:val="0"/>
  </w:num>
  <w:num w:numId="41">
    <w:abstractNumId w:val="16"/>
  </w:num>
  <w:num w:numId="42">
    <w:abstractNumId w:val="40"/>
  </w:num>
  <w:num w:numId="43">
    <w:abstractNumId w:val="9"/>
  </w:num>
  <w:num w:numId="44">
    <w:abstractNumId w:val="11"/>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1452A"/>
    <w:rsid w:val="00022B8B"/>
    <w:rsid w:val="000413F9"/>
    <w:rsid w:val="00043B4B"/>
    <w:rsid w:val="000647C2"/>
    <w:rsid w:val="000B68D0"/>
    <w:rsid w:val="000C3A13"/>
    <w:rsid w:val="000F7FF0"/>
    <w:rsid w:val="00101887"/>
    <w:rsid w:val="00101DED"/>
    <w:rsid w:val="00103061"/>
    <w:rsid w:val="0012158A"/>
    <w:rsid w:val="00151BA6"/>
    <w:rsid w:val="0016059C"/>
    <w:rsid w:val="001700D4"/>
    <w:rsid w:val="00171462"/>
    <w:rsid w:val="00182B11"/>
    <w:rsid w:val="001836E8"/>
    <w:rsid w:val="001A184C"/>
    <w:rsid w:val="001B05FF"/>
    <w:rsid w:val="001C0B04"/>
    <w:rsid w:val="001C43D1"/>
    <w:rsid w:val="001C44BA"/>
    <w:rsid w:val="001F3721"/>
    <w:rsid w:val="0021442E"/>
    <w:rsid w:val="002234E6"/>
    <w:rsid w:val="00227220"/>
    <w:rsid w:val="00240E4D"/>
    <w:rsid w:val="002505BF"/>
    <w:rsid w:val="002709F8"/>
    <w:rsid w:val="0028540F"/>
    <w:rsid w:val="002949D6"/>
    <w:rsid w:val="002B07DB"/>
    <w:rsid w:val="002B68F7"/>
    <w:rsid w:val="002C4970"/>
    <w:rsid w:val="002C633E"/>
    <w:rsid w:val="002F19A4"/>
    <w:rsid w:val="0032104C"/>
    <w:rsid w:val="0034470E"/>
    <w:rsid w:val="0035342D"/>
    <w:rsid w:val="00360E6A"/>
    <w:rsid w:val="00370AFF"/>
    <w:rsid w:val="003746B4"/>
    <w:rsid w:val="003A1BD1"/>
    <w:rsid w:val="003A6993"/>
    <w:rsid w:val="003B37A8"/>
    <w:rsid w:val="003B3BC6"/>
    <w:rsid w:val="003C51DF"/>
    <w:rsid w:val="003D12CD"/>
    <w:rsid w:val="003D2587"/>
    <w:rsid w:val="003E2A67"/>
    <w:rsid w:val="003E4BA8"/>
    <w:rsid w:val="00407280"/>
    <w:rsid w:val="004100B5"/>
    <w:rsid w:val="0042560C"/>
    <w:rsid w:val="00451629"/>
    <w:rsid w:val="00483FDF"/>
    <w:rsid w:val="00494005"/>
    <w:rsid w:val="004A0247"/>
    <w:rsid w:val="004B6322"/>
    <w:rsid w:val="004C0C19"/>
    <w:rsid w:val="004D2254"/>
    <w:rsid w:val="004D2D4F"/>
    <w:rsid w:val="004E2892"/>
    <w:rsid w:val="00512D84"/>
    <w:rsid w:val="005248FB"/>
    <w:rsid w:val="00535553"/>
    <w:rsid w:val="00536376"/>
    <w:rsid w:val="0054548D"/>
    <w:rsid w:val="005722F6"/>
    <w:rsid w:val="00585718"/>
    <w:rsid w:val="005975A1"/>
    <w:rsid w:val="005C3245"/>
    <w:rsid w:val="005C4281"/>
    <w:rsid w:val="005F3CCD"/>
    <w:rsid w:val="00614B51"/>
    <w:rsid w:val="00633380"/>
    <w:rsid w:val="00644751"/>
    <w:rsid w:val="00657099"/>
    <w:rsid w:val="00665BDB"/>
    <w:rsid w:val="006A0D57"/>
    <w:rsid w:val="006B58C8"/>
    <w:rsid w:val="006C363A"/>
    <w:rsid w:val="006F3138"/>
    <w:rsid w:val="0074776C"/>
    <w:rsid w:val="007601DE"/>
    <w:rsid w:val="00765A42"/>
    <w:rsid w:val="00771579"/>
    <w:rsid w:val="00775E04"/>
    <w:rsid w:val="007A64B6"/>
    <w:rsid w:val="007A7B08"/>
    <w:rsid w:val="007C5A97"/>
    <w:rsid w:val="00820F43"/>
    <w:rsid w:val="008212F7"/>
    <w:rsid w:val="008254E9"/>
    <w:rsid w:val="00846191"/>
    <w:rsid w:val="00857312"/>
    <w:rsid w:val="00872118"/>
    <w:rsid w:val="008A5600"/>
    <w:rsid w:val="008A7923"/>
    <w:rsid w:val="008C37AC"/>
    <w:rsid w:val="008C6638"/>
    <w:rsid w:val="008F22A0"/>
    <w:rsid w:val="00913645"/>
    <w:rsid w:val="0091717C"/>
    <w:rsid w:val="00921A22"/>
    <w:rsid w:val="00923D0D"/>
    <w:rsid w:val="00930AC6"/>
    <w:rsid w:val="00931606"/>
    <w:rsid w:val="00940F28"/>
    <w:rsid w:val="00946BD3"/>
    <w:rsid w:val="00954B71"/>
    <w:rsid w:val="009746FF"/>
    <w:rsid w:val="009865E7"/>
    <w:rsid w:val="00990BFD"/>
    <w:rsid w:val="00993CF9"/>
    <w:rsid w:val="00995009"/>
    <w:rsid w:val="009A295C"/>
    <w:rsid w:val="009D5584"/>
    <w:rsid w:val="009D5C72"/>
    <w:rsid w:val="009D7158"/>
    <w:rsid w:val="009E628B"/>
    <w:rsid w:val="009F7DCE"/>
    <w:rsid w:val="00A06071"/>
    <w:rsid w:val="00A23779"/>
    <w:rsid w:val="00A241E4"/>
    <w:rsid w:val="00A24B49"/>
    <w:rsid w:val="00A27A8B"/>
    <w:rsid w:val="00A32960"/>
    <w:rsid w:val="00A64685"/>
    <w:rsid w:val="00A81AB5"/>
    <w:rsid w:val="00A9107D"/>
    <w:rsid w:val="00AA1275"/>
    <w:rsid w:val="00AE1351"/>
    <w:rsid w:val="00AF6471"/>
    <w:rsid w:val="00B038BE"/>
    <w:rsid w:val="00B1462C"/>
    <w:rsid w:val="00B31557"/>
    <w:rsid w:val="00B4684B"/>
    <w:rsid w:val="00B70781"/>
    <w:rsid w:val="00B91152"/>
    <w:rsid w:val="00BA670B"/>
    <w:rsid w:val="00BC09DC"/>
    <w:rsid w:val="00BD3F86"/>
    <w:rsid w:val="00BE6752"/>
    <w:rsid w:val="00C142C1"/>
    <w:rsid w:val="00C1545E"/>
    <w:rsid w:val="00C24723"/>
    <w:rsid w:val="00C37FAB"/>
    <w:rsid w:val="00C45BC6"/>
    <w:rsid w:val="00C51881"/>
    <w:rsid w:val="00C56AD2"/>
    <w:rsid w:val="00C85BDC"/>
    <w:rsid w:val="00C85C52"/>
    <w:rsid w:val="00CA0321"/>
    <w:rsid w:val="00CA131D"/>
    <w:rsid w:val="00CA32B5"/>
    <w:rsid w:val="00CB72D9"/>
    <w:rsid w:val="00CC0EC8"/>
    <w:rsid w:val="00CC2488"/>
    <w:rsid w:val="00D062BE"/>
    <w:rsid w:val="00D11A6F"/>
    <w:rsid w:val="00D258EA"/>
    <w:rsid w:val="00D331CF"/>
    <w:rsid w:val="00D40F34"/>
    <w:rsid w:val="00D43930"/>
    <w:rsid w:val="00D61F23"/>
    <w:rsid w:val="00D72013"/>
    <w:rsid w:val="00D821B7"/>
    <w:rsid w:val="00D8365E"/>
    <w:rsid w:val="00D91BC6"/>
    <w:rsid w:val="00D933F5"/>
    <w:rsid w:val="00D96878"/>
    <w:rsid w:val="00D97159"/>
    <w:rsid w:val="00DB3E0F"/>
    <w:rsid w:val="00DE33D1"/>
    <w:rsid w:val="00DF19D3"/>
    <w:rsid w:val="00E002EC"/>
    <w:rsid w:val="00E068A7"/>
    <w:rsid w:val="00E115C4"/>
    <w:rsid w:val="00E41281"/>
    <w:rsid w:val="00EA302C"/>
    <w:rsid w:val="00EB25B9"/>
    <w:rsid w:val="00EC12C0"/>
    <w:rsid w:val="00ED2EAF"/>
    <w:rsid w:val="00ED5C85"/>
    <w:rsid w:val="00ED5D9B"/>
    <w:rsid w:val="00EE2330"/>
    <w:rsid w:val="00EF49E2"/>
    <w:rsid w:val="00EF5E10"/>
    <w:rsid w:val="00F1788D"/>
    <w:rsid w:val="00F20E9A"/>
    <w:rsid w:val="00F40EEA"/>
    <w:rsid w:val="00F442D8"/>
    <w:rsid w:val="00F6413A"/>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CA0321"/>
    <w:rPr>
      <w:color w:val="0563C1" w:themeColor="hyperlink"/>
      <w:u w:val="single"/>
    </w:rPr>
  </w:style>
  <w:style w:type="character" w:customStyle="1" w:styleId="UnresolvedMention1">
    <w:name w:val="Unresolved Mention1"/>
    <w:basedOn w:val="DefaultParagraphFont"/>
    <w:uiPriority w:val="99"/>
    <w:semiHidden/>
    <w:unhideWhenUsed/>
    <w:rsid w:val="0012158A"/>
    <w:rPr>
      <w:color w:val="605E5C"/>
      <w:shd w:val="clear" w:color="auto" w:fill="E1DFDD"/>
    </w:rPr>
  </w:style>
  <w:style w:type="character" w:styleId="UnresolvedMention">
    <w:name w:val="Unresolved Mention"/>
    <w:basedOn w:val="DefaultParagraphFont"/>
    <w:uiPriority w:val="99"/>
    <w:semiHidden/>
    <w:unhideWhenUsed/>
    <w:rsid w:val="009E6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s://youtu.be/zwEoBhuyJq4" TargetMode="External"/><Relationship Id="rId3" Type="http://schemas.openxmlformats.org/officeDocument/2006/relationships/customXml" Target="../customXml/item3.xml"/><Relationship Id="rId21" Type="http://schemas.openxmlformats.org/officeDocument/2006/relationships/hyperlink" Target="https://youtu.be/MiwUXZUsLok" TargetMode="Externa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pehOZ-ItE6I"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g"/><Relationship Id="rId23" Type="http://schemas.openxmlformats.org/officeDocument/2006/relationships/hyperlink" Target="https://youtu.be/XK3fM2sK99k" TargetMode="External"/><Relationship Id="rId10" Type="http://schemas.openxmlformats.org/officeDocument/2006/relationships/hyperlink" Target="https://youtu.be/A9xun5Le0uQ" TargetMode="External"/><Relationship Id="rId19" Type="http://schemas.openxmlformats.org/officeDocument/2006/relationships/hyperlink" Target="https://youtu.be/eHbHQ2wqZv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yperlink" Target="https://youtu.be/RoSx4lF1XCk" TargetMode="Externa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2.xml><?xml version="1.0" encoding="utf-8"?>
<ds:datastoreItem xmlns:ds="http://schemas.openxmlformats.org/officeDocument/2006/customXml" ds:itemID="{376E4216-6A2A-4AF7-89D9-352A7519E0D1}">
  <ds:schemaRefs>
    <ds:schemaRef ds:uri="http://schemas.microsoft.com/office/2006/metadata/properties"/>
    <ds:schemaRef ds:uri="http://purl.org/dc/terms/"/>
    <ds:schemaRef ds:uri="http://purl.org/dc/dcmitype/"/>
    <ds:schemaRef ds:uri="8c222443-d295-4ed9-b50b-c0887899d137"/>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58a657bd-954d-47e9-a834-f04f5ee8a359"/>
    <ds:schemaRef ds:uri="http://www.w3.org/XML/1998/namespace"/>
  </ds:schemaRefs>
</ds:datastoreItem>
</file>

<file path=customXml/itemProps3.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35</cp:revision>
  <dcterms:created xsi:type="dcterms:W3CDTF">2020-12-14T20:20:00Z</dcterms:created>
  <dcterms:modified xsi:type="dcterms:W3CDTF">2021-01-21T20:01:00Z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