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6"/>
          <w:szCs w:val="36"/>
        </w:rPr>
        <w:t xml:space="preserve">AC/DC Framework</w:t>
      </w:r>
    </w:p>
    <w:p>
      <w:pPr>
        <w:jc w:val="center"/>
      </w:pPr>
      <w:r>
        <w:rPr>
          <w:sz w:val="28"/>
          <w:szCs w:val="28"/>
        </w:rPr>
        <w:t xml:space="preserve">Analysis Concepts / Derivation Concepts</w:t>
      </w:r>
    </w:p>
    <w:p>
      <w:pPr>
        <w:jc w:val="center"/>
      </w:pPr>
      <w:r>
        <w:rPr>
          <w:sz w:val="28"/>
          <w:szCs w:val="28"/>
        </w:rPr>
        <w:t xml:space="preserve">Framework Overview</w:t>
      </w:r>
    </w:p>
    <w:p>
      <w:pPr>
        <w:spacing w:after="480"/>
        <w:jc w:val="center"/>
      </w:pPr>
      <w:r>
        <w:rPr>
          <w:i/>
          <w:iCs/>
        </w:rPr>
        <w:t xml:space="preserve">Draft v0.3</w:t>
      </w:r>
    </w:p>
    <w:p>
      <w:pPr>
        <w:pStyle w:val="Heading1"/>
      </w:pPr>
      <w:r>
        <w:t xml:space="preserve">1. Introduction</w:t>
      </w:r>
    </w:p>
    <w:p>
      <w:pPr>
        <w:spacing w:after="200"/>
      </w:pPr>
      <w:r>
        <w:t xml:space="preserve">The AC/DC Framework (Analysis Concepts / Derivation Concepts) provides a comprehensive approach to specifying clinical trial data transformations and statistical analyses in a machine-executable, standard-independent way.</w:t>
      </w:r>
    </w:p>
    <w:p>
      <w:pPr>
        <w:spacing w:after="200"/>
      </w:pPr>
      <w:r>
        <w:t xml:space="preserve">The framework enables a fundamental shift from hardcoded programming to configurable metadata specifications, where analysis intent is captured once and can be automatically translated to multiple implementation targets.</w:t>
      </w:r>
    </w:p>
    <w:p>
      <w:pPr>
        <w:pStyle w:val="Heading2"/>
      </w:pPr>
      <w:r>
        <w:t xml:space="preserve">1.1 Vision</w:t>
      </w:r>
    </w:p>
    <w:p>
      <w:pPr>
        <w:pStyle w:val="ListParagraph"/>
        <w:numPr>
          <w:ilvl w:val="0"/>
          <w:numId w:val="2"/>
        </w:numPr>
      </w:pPr>
      <w:r>
        <w:t xml:space="preserve">Define once, execute anywhere: Specifications translate to R, SAS, Python, and other languages</w:t>
      </w:r>
    </w:p>
    <w:p>
      <w:pPr>
        <w:pStyle w:val="ListParagraph"/>
        <w:numPr>
          <w:ilvl w:val="0"/>
          <w:numId w:val="2"/>
        </w:numPr>
      </w:pPr>
      <w:r>
        <w:t xml:space="preserve">Standard-independent: Works with ADaM, SDTM, OMOP, FHIR, and future standards</w:t>
      </w:r>
    </w:p>
    <w:p>
      <w:pPr>
        <w:pStyle w:val="ListParagraph"/>
        <w:numPr>
          <w:ilvl w:val="0"/>
          <w:numId w:val="2"/>
        </w:numPr>
      </w:pPr>
      <w:r>
        <w:t xml:space="preserve">Machine-executable: Metadata drives automated code generation</w:t>
      </w:r>
    </w:p>
    <w:p>
      <w:pPr>
        <w:pStyle w:val="ListParagraph"/>
        <w:numPr>
          <w:ilvl w:val="0"/>
          <w:numId w:val="2"/>
        </w:numPr>
      </w:pPr>
      <w:r>
        <w:t xml:space="preserve">Semantically rich: Captures clinical intent, not just computational steps</w:t>
      </w:r>
    </w:p>
    <w:p>
      <w:pPr>
        <w:pStyle w:val="Heading2"/>
      </w:pPr>
      <w:r>
        <w:t xml:space="preserve">1.2 Framework Architecture</w:t>
      </w:r>
    </w:p>
    <w:p>
      <w:pPr>
        <w:spacing w:after="200"/>
      </w:pPr>
      <w:r>
        <w:t xml:space="preserve">The framework follows a three-layer architecture for both data derivation and statistical analysis:</w:t>
      </w:r>
    </w:p>
    <w:p>
      <w:pPr>
        <w:spacing w:after="200"/>
      </w:pPr>
      <w:r>
        <w:t xml:space="preserve">Methods define pure operations using named roles. Templates bind Semantic Transformation Concepts to those roles for specific clinical purposes. Implementation provides the physical binding to data standards and generates executable code.</w:t>
      </w:r>
    </w:p>
    <w:p>
      <w:pPr>
        <w:pStyle w:val="Heading1"/>
      </w:pPr>
      <w:r>
        <w:t xml:space="preserve">2. Framework Documents</w:t>
      </w:r>
    </w:p>
    <w:p>
      <w:pPr>
        <w:spacing w:after="200"/>
      </w:pPr>
      <w:r>
        <w:t xml:space="preserve">The AC/DC Framework is defined across two complementary specification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Document</w:t>
            </w:r>
          </w:p>
        </w:tc>
        <w:tc>
          <w:tcPr>
            <w:tcW w:type="dxa" w:w="6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Clinical Semantic Transformation Model (CSTM)</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Defines WHAT concepts exist: Semantic Transformation Concepts (STCs) at both observation and inference levels, their relationships, and implementation bindings to physical standards.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Methods, Templates &amp; DEL</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Defines HOW transformations work: Methods (operations with roles), Templates (clinical patterns binding STCs to Methods), W3C Data Cube integration, and the Derivation Expression Language.</w:t>
            </w:r>
          </w:p>
        </w:tc>
      </w:tr>
    </w:tbl>
    <w:p>
      <w:pPr>
        <w:pStyle w:val="Heading2"/>
      </w:pPr>
      <w:r>
        <w:t xml:space="preserve">2.1 Clinical Semantic Transformation Model (CSTM)</w:t>
      </w:r>
    </w:p>
    <w:p>
      <w:pPr>
        <w:spacing w:after="200"/>
      </w:pPr>
      <w:r>
        <w:t xml:space="preserve">The CSTM is the semantic foundation of the framework. It defines Semantic Transformation Concepts (STCs) organized into two levels based on granularity:</w:t>
      </w:r>
    </w:p>
    <w:p>
      <w:r>
        <w:rPr>
          <w:b/>
          <w:bCs/>
        </w:rPr>
        <w:t xml:space="preserve">Observation-level STCs</w:t>
      </w:r>
    </w:p>
    <w:p>
      <w:pPr>
        <w:spacing w:after="200"/>
      </w:pPr>
      <w:r>
        <w:t xml:space="preserve">Data concepts at the subject/visit/timepoint granularity - inputs and outputs of derivation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Category</w:t>
            </w:r>
          </w:p>
        </w:tc>
        <w:tc>
          <w:tcPr>
            <w:tcW w:type="dxa" w:w="6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Examples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Value</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observation_value, analysis_value, baseline_value, change_value, percent_change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Identity</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study, site, region, subject, parameter, visit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Treatment</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treatment_planned, treatment_actual, dose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Flag</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population_flag, baseline_flag, treatment_emergent_flag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Time-to-Event</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tte_origin, event_date, time_to_event, censor_indicator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Qualifier</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unit, derivation_type, parameter_label (metadata for display/traceability)</w:t>
            </w:r>
          </w:p>
        </w:tc>
      </w:tr>
    </w:tbl>
    <w:p>
      <w:pPr>
        <w:spacing w:before="300"/>
      </w:pPr>
      <w:r>
        <w:rPr>
          <w:b/>
          <w:bCs/>
        </w:rPr>
        <w:t xml:space="preserve">Inference-level STCs</w:t>
      </w:r>
    </w:p>
    <w:p>
      <w:pPr>
        <w:spacing w:after="200"/>
      </w:pPr>
      <w:r>
        <w:t xml:space="preserve">Statistical outputs at the analysis/comparison granularity - outputs of analysis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Category</w:t>
            </w:r>
          </w:p>
        </w:tc>
        <w:tc>
          <w:tcPr>
            <w:tcW w:type="dxa" w:w="6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Examples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Estimate</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estimate, ls_mean, ls_mean_difference, odds_ratio, hazard_ratio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Interval</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confidence_interval, confidence_interval_lower, confidence_interval_upper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Test</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p_value, t_statistic, f_statistic, degrees_of_freedom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Descriptive</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count, mean, median, standard_deviation, minimum, maximum</w:t>
            </w:r>
          </w:p>
        </w:tc>
      </w:tr>
    </w:tbl>
    <w:p>
      <w:pPr>
        <w:spacing w:before="300" w:after="200"/>
      </w:pPr>
      <w:r>
        <w:t xml:space="preserve">The CSTM also defines Implementation Bindings that map STCs to physical variables in specific standards (ADaM, SDTM, OMOP, FHIR).</w:t>
      </w:r>
    </w:p>
    <w:p>
      <w:pPr>
        <w:pStyle w:val="Heading2"/>
      </w:pPr>
      <w:r>
        <w:t xml:space="preserve">2.2 W3C Data Cube Integration</w:t>
      </w:r>
    </w:p>
    <w:p>
      <w:pPr>
        <w:spacing w:after="200"/>
      </w:pPr>
      <w:r>
        <w:t xml:space="preserve">Templates assign cube roles to each STC, defining its structural role in the data cube: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4500"/>
        <w:gridCol w:w="25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Cube Role</w:t>
            </w:r>
          </w:p>
        </w:tc>
        <w:tc>
          <w:tcPr>
            <w:tcW w:type="dxa" w:w="4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Definition</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Used In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Dimension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Identifies/locates observations (keys); can be fixed in slices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Methods (grouping), Slices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Measure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Numeric values for computation (response, covariates, any input)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Methods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Attribute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Metadata qualifying observations (units, labels, derivation type)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Neither (documentation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Slice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Fixes dimension values to subset observations for analysis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Data selection</w:t>
            </w:r>
          </w:p>
        </w:tc>
      </w:tr>
    </w:tbl>
    <w:p>
      <w:pPr>
        <w:spacing w:before="200" w:after="200"/>
      </w:pPr>
      <w:r>
        <w:rPr>
          <w:i/>
          <w:iCs/>
        </w:rPr>
        <w:t xml:space="preserve">Important: If a value participates in a method formula (as response, covariate, or any computational input), it is a measure. Attributes are metadata like units and labels that travel with observations for display but do not participate in computation or slicing.</w:t>
      </w:r>
    </w:p>
    <w:p>
      <w:pPr>
        <w:pStyle w:val="Heading1"/>
      </w:pPr>
      <w:r>
        <w:t xml:space="preserve">3. How the Documents Connect</w:t>
      </w:r>
    </w:p>
    <w:p>
      <w:pPr>
        <w:spacing w:after="200"/>
      </w:pPr>
      <w:r>
        <w:t xml:space="preserve">The two framework documents form a layered specification where each references the other: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Connection</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From</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Templates → CSTM STCs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Template role bindings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Reference Semantic Transformation Concepts by name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Templates → Methods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Template uses_method property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References Method by name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Templates → Cube Roles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Role binding cube_role property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Assigns dimension/measure/attribute/slice role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CSTM Bindings → STCs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Implementation binding table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Maps physical variables to STCs (AVAL → analysis_value)</w:t>
            </w:r>
          </w:p>
        </w:tc>
      </w:tr>
    </w:tbl>
    <w:p>
      <w:pPr>
        <w:pStyle w:val="Heading2"/>
      </w:pPr>
      <w:r>
        <w:t xml:space="preserve">3.1 Example: Change from Baseline Analysis</w:t>
      </w:r>
    </w:p>
    <w:p>
      <w:pPr>
        <w:spacing w:after="200"/>
      </w:pPr>
      <w:r>
        <w:t xml:space="preserve">This example shows how the documents work together for a typical efficacy analysis:</w:t>
      </w:r>
    </w:p>
    <w:p>
      <w:r>
        <w:rPr>
          <w:b/>
          <w:bCs/>
        </w:rPr>
        <w:t xml:space="preserve">1. CSTM defines the concepts:</w:t>
      </w:r>
    </w:p>
    <w:p>
      <w:pPr>
        <w:pStyle w:val="ListParagraph"/>
        <w:numPr>
          <w:ilvl w:val="0"/>
          <w:numId w:val="2"/>
        </w:numPr>
      </w:pPr>
      <w:r>
        <w:t xml:space="preserve">analysis_value, baseline_value, change_value (Value category)</w:t>
      </w:r>
    </w:p>
    <w:p>
      <w:pPr>
        <w:pStyle w:val="ListParagraph"/>
        <w:numPr>
          <w:ilvl w:val="0"/>
          <w:numId w:val="2"/>
        </w:numPr>
      </w:pPr>
      <w:r>
        <w:t xml:space="preserve">treatment_planned (Treatment category)</w:t>
      </w:r>
    </w:p>
    <w:p>
      <w:pPr>
        <w:pStyle w:val="ListParagraph"/>
        <w:numPr>
          <w:ilvl w:val="0"/>
          <w:numId w:val="2"/>
        </w:numPr>
      </w:pPr>
      <w:r>
        <w:t xml:space="preserve">unit, parameter_label (Qualifier category — attributes for display)</w:t>
      </w:r>
    </w:p>
    <w:p>
      <w:pPr>
        <w:pStyle w:val="ListParagraph"/>
        <w:numPr>
          <w:ilvl w:val="0"/>
          <w:numId w:val="2"/>
        </w:numPr>
      </w:pPr>
      <w:r>
        <w:t xml:space="preserve">p_value, ls_mean (Inference-level outputs)</w:t>
      </w:r>
    </w:p>
    <w:p>
      <w:pPr>
        <w:spacing w:before="200"/>
      </w:pPr>
      <w:r>
        <w:rPr>
          <w:b/>
          <w:bCs/>
        </w:rPr>
        <w:t xml:space="preserve">2. Templates define the operations with cube roles:</w:t>
      </w:r>
    </w:p>
    <w:p>
      <w:pPr>
        <w:pStyle w:val="ListParagraph"/>
        <w:numPr>
          <w:ilvl w:val="0"/>
          <w:numId w:val="2"/>
        </w:numPr>
      </w:pPr>
      <w:r>
        <w:t xml:space="preserve">ChangeFromBaseline: analysis_value (measure) − baseline_value (measure) → change_value (measure)</w:t>
      </w:r>
    </w:p>
    <w:p>
      <w:pPr>
        <w:pStyle w:val="ListParagraph"/>
        <w:numPr>
          <w:ilvl w:val="0"/>
          <w:numId w:val="2"/>
        </w:numPr>
      </w:pPr>
      <w:r>
        <w:t xml:space="preserve">CFB_ANCOVA: change_value (measure/response) ~ baseline_value (measure/covariate) + treatment_planned (dimension/group)</w:t>
      </w:r>
    </w:p>
    <w:p>
      <w:pPr>
        <w:pStyle w:val="ListParagraph"/>
        <w:numPr>
          <w:ilvl w:val="0"/>
          <w:numId w:val="2"/>
        </w:numPr>
      </w:pPr>
      <w:r>
        <w:t xml:space="preserve">Slice: population_flag=true, parameter='ADAS-Cog(11)', visit='Week 24'</w:t>
      </w:r>
    </w:p>
    <w:p>
      <w:pPr>
        <w:spacing w:before="200"/>
      </w:pPr>
      <w:r>
        <w:rPr>
          <w:b/>
          <w:bCs/>
        </w:rPr>
        <w:t xml:space="preserve">3. CSTM provides implementation bindings:</w:t>
      </w:r>
    </w:p>
    <w:p>
      <w:pPr>
        <w:pStyle w:val="ListParagraph"/>
        <w:numPr>
          <w:ilvl w:val="0"/>
          <w:numId w:val="2"/>
        </w:numPr>
      </w:pPr>
      <w:r>
        <w:t xml:space="preserve">ADaM: AVAL → analysis_value, BASE → baseline_value, CHG → change_value</w:t>
      </w:r>
    </w:p>
    <w:p>
      <w:pPr>
        <w:pStyle w:val="ListParagraph"/>
        <w:numPr>
          <w:ilvl w:val="0"/>
          <w:numId w:val="2"/>
        </w:numPr>
      </w:pPr>
      <w:r>
        <w:t xml:space="preserve">ADaM: AVALU → unit, PARAM → parameter_label (attributes)</w:t>
      </w:r>
    </w:p>
    <w:p>
      <w:pPr>
        <w:pStyle w:val="ListParagraph"/>
        <w:numPr>
          <w:ilvl w:val="0"/>
          <w:numId w:val="2"/>
        </w:numPr>
      </w:pPr>
      <w:r>
        <w:t xml:space="preserve">Code generation: PROC GLM; CLASS TRT; MODEL CHG = BASE TRT;</w:t>
      </w:r>
    </w:p>
    <w:p>
      <w:pPr>
        <w:pStyle w:val="Heading1"/>
      </w:pPr>
      <w:r>
        <w:t xml:space="preserve">4. Recommended Reading Order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Order</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Document</w:t>
            </w:r>
          </w:p>
        </w:tc>
        <w:tc>
          <w:tcPr>
            <w:tcW w:type="dxa" w:w="4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Focus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Overview</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Understand the framework architecture and document relationships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CSTM Specification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Learn the vocabulary: Observation-level and Inference-level STCs, and implementation bindings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Methods, Templates &amp; DEL</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Understand operations, W3C Data Cube integration, and expression languages</w:t>
            </w:r>
          </w:p>
        </w:tc>
      </w:tr>
    </w:tbl>
    <w:p>
      <w:pPr>
        <w:pStyle w:val="Heading1"/>
      </w:pPr>
      <w:r>
        <w:t xml:space="preserve">5. Key Principles</w:t>
      </w:r>
    </w:p>
    <w:p>
      <w:pPr>
        <w:pStyle w:val="ListParagraph"/>
        <w:numPr>
          <w:ilvl w:val="0"/>
          <w:numId w:val="2"/>
        </w:numPr>
      </w:pPr>
      <w:r>
        <w:t xml:space="preserve">Separation of concerns: WHAT concepts exist (CSTM) vs HOW transformations work (Methods/Templates)</w:t>
      </w:r>
    </w:p>
    <w:p>
      <w:pPr>
        <w:pStyle w:val="ListParagraph"/>
        <w:numPr>
          <w:ilvl w:val="0"/>
          <w:numId w:val="2"/>
        </w:numPr>
      </w:pPr>
      <w:r>
        <w:t xml:space="preserve">Standard-independence: Core specifications work across ADaM, SDTM, OMOP, FHIR</w:t>
      </w:r>
    </w:p>
    <w:p>
      <w:pPr>
        <w:pStyle w:val="ListParagraph"/>
        <w:numPr>
          <w:ilvl w:val="0"/>
          <w:numId w:val="2"/>
        </w:numPr>
      </w:pPr>
      <w:r>
        <w:t xml:space="preserve">Machine-executable: Metadata drives code generation, not human programming</w:t>
      </w:r>
    </w:p>
    <w:p>
      <w:pPr>
        <w:pStyle w:val="ListParagraph"/>
        <w:numPr>
          <w:ilvl w:val="0"/>
          <w:numId w:val="2"/>
        </w:numPr>
      </w:pPr>
      <w:r>
        <w:t xml:space="preserve">Semantic richness: Clinical intent is captured, not just computational steps</w:t>
      </w:r>
    </w:p>
    <w:p>
      <w:pPr>
        <w:pStyle w:val="ListParagraph"/>
        <w:numPr>
          <w:ilvl w:val="0"/>
          <w:numId w:val="2"/>
        </w:numPr>
      </w:pPr>
      <w:r>
        <w:t xml:space="preserve">Unified pattern: Both derivation and analysis follow Method → Template → Implementation</w:t>
      </w:r>
    </w:p>
    <w:p>
      <w:pPr>
        <w:pStyle w:val="ListParagraph"/>
        <w:numPr>
          <w:ilvl w:val="0"/>
          <w:numId w:val="2"/>
        </w:numPr>
      </w:pPr>
      <w:r>
        <w:t xml:space="preserve">W3C Data Cube: Dimensions identify, measures compute, attributes describe (not compute), slices constrain</w:t>
      </w:r>
    </w:p>
    <w:p>
      <w:pPr>
        <w:pStyle w:val="ListParagraph"/>
        <w:numPr>
          <w:ilvl w:val="0"/>
          <w:numId w:val="2"/>
        </w:numPr>
      </w:pPr>
      <w:r>
        <w:t xml:space="preserve">CDISC-maintained: Methods and Templates are part of the AC/DC standard library</w:t>
      </w:r>
    </w:p>
    <w:p>
      <w:pPr>
        <w:pStyle w:val="ListParagraph"/>
        <w:numPr>
          <w:ilvl w:val="0"/>
          <w:numId w:val="2"/>
        </w:numPr>
      </w:pPr>
      <w:r>
        <w:t xml:space="preserve">Extensible: Organizations can add custom templates while maintaining compatibility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sz w:val="32"/>
      <w:szCs w:val="32"/>
    </w:rPr>
  </w:style>
  <w:style w:type="paragraph" w:styleId="Heading2">
    <w:name w:val="Heading 2"/>
    <w:basedOn w:val="Normal"/>
    <w:next w:val="Normal"/>
    <w:qFormat/>
    <w:pPr>
      <w:spacing w:before="360" w:after="180"/>
      <w:outlineLvl w:val="1"/>
    </w:pPr>
    <w:rPr>
      <w:rFonts w:ascii="Arial" w:cs="Arial" w:eastAsia="Arial" w:hAnsi="Arial"/>
      <w:b/>
      <w:bCs/>
      <w:sz w:val="28"/>
      <w:szCs w:val="28"/>
    </w:rPr>
  </w:style>
  <w:style w:type="paragraph" w:styleId="Heading3">
    <w:name w:val="Heading 3"/>
    <w:basedOn w:val="Normal"/>
    <w:next w:val="Normal"/>
    <w:qFormat/>
    <w:pPr>
      <w:spacing w:before="240" w:after="12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2026-01-26T14:50:59.651Z</dcterms:created>
  <dcterms:modified xsi:type="dcterms:W3CDTF">2026-01-26T14:50:59.653Z</dcterms:modified>
</cp:coreProperties>
</file>

<file path=docProps/custom.xml><?xml version="1.0" encoding="utf-8"?>
<Properties xmlns="http://schemas.openxmlformats.org/officeDocument/2006/custom-properties" xmlns:vt="http://schemas.openxmlformats.org/officeDocument/2006/docPropsVTypes"/>
</file>