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6"/>
          <w:szCs w:val="36"/>
        </w:rPr>
        <w:t xml:space="preserve">AC/DC Framework</w:t>
      </w:r>
    </w:p>
    <w:p>
      <w:pPr>
        <w:jc w:val="center"/>
      </w:pPr>
      <w:r>
        <w:rPr>
          <w:sz w:val="28"/>
          <w:szCs w:val="28"/>
        </w:rPr>
        <w:t xml:space="preserve">Analysis Concepts / Derivation Concepts</w:t>
      </w:r>
    </w:p>
    <w:p>
      <w:pPr>
        <w:jc w:val="center"/>
      </w:pPr>
      <w:r>
        <w:rPr>
          <w:sz w:val="28"/>
          <w:szCs w:val="28"/>
        </w:rPr>
        <w:t xml:space="preserve">Framework Overview</w:t>
      </w:r>
    </w:p>
    <w:p>
      <w:pPr>
        <w:spacing w:after="480"/>
        <w:jc w:val="center"/>
      </w:pPr>
      <w:r>
        <w:rPr>
          <w:i/>
          <w:iCs/>
        </w:rPr>
        <w:t xml:space="preserve">Draft v0.2</w:t>
      </w:r>
    </w:p>
    <w:p>
      <w:pPr>
        <w:pStyle w:val="Heading1"/>
      </w:pPr>
      <w:r>
        <w:t xml:space="preserve">1. Introduction</w:t>
      </w:r>
    </w:p>
    <w:p>
      <w:pPr>
        <w:spacing w:after="200"/>
      </w:pPr>
      <w:r>
        <w:t xml:space="preserve">The AC/DC Framework (Analysis Concepts / Derivation Concepts) provides a comprehensive approach to specifying clinical trial data transformations and statistical analyses in a machine-executable, standard-independent way.</w:t>
      </w:r>
    </w:p>
    <w:p>
      <w:pPr>
        <w:spacing w:after="200"/>
      </w:pPr>
      <w:r>
        <w:t xml:space="preserve">The framework enables a fundamental shift from hardcoded programming to configurable metadata specifications, where analysis intent is captured once and can be automatically translated to multiple implementation targets.</w:t>
      </w:r>
    </w:p>
    <w:p>
      <w:pPr>
        <w:pStyle w:val="Heading2"/>
      </w:pPr>
      <w:r>
        <w:t xml:space="preserve">1.1 Vision</w:t>
      </w:r>
    </w:p>
    <w:p>
      <w:pPr>
        <w:pStyle w:val="ListParagraph"/>
        <w:numPr>
          <w:ilvl w:val="0"/>
          <w:numId w:val="2"/>
        </w:numPr>
      </w:pPr>
      <w:r>
        <w:t xml:space="preserve">Define once, execute anywhere: Specifications translate to R, SAS, Python, and other languages</w:t>
      </w:r>
    </w:p>
    <w:p>
      <w:pPr>
        <w:pStyle w:val="ListParagraph"/>
        <w:numPr>
          <w:ilvl w:val="0"/>
          <w:numId w:val="2"/>
        </w:numPr>
      </w:pPr>
      <w:r>
        <w:t xml:space="preserve">Standard-independent: Works with ADaM, SDTM, OMOP, FHIR, and future standards</w:t>
      </w:r>
    </w:p>
    <w:p>
      <w:pPr>
        <w:pStyle w:val="ListParagraph"/>
        <w:numPr>
          <w:ilvl w:val="0"/>
          <w:numId w:val="2"/>
        </w:numPr>
      </w:pPr>
      <w:r>
        <w:t xml:space="preserve">Machine-executable: Metadata drives automated code generation</w:t>
      </w:r>
    </w:p>
    <w:p>
      <w:pPr>
        <w:pStyle w:val="ListParagraph"/>
        <w:numPr>
          <w:ilvl w:val="0"/>
          <w:numId w:val="2"/>
        </w:numPr>
      </w:pPr>
      <w:r>
        <w:t xml:space="preserve">Semantically rich: Captures clinical intent, not just computational steps</w:t>
      </w:r>
    </w:p>
    <w:p>
      <w:pPr>
        <w:pStyle w:val="Heading2"/>
      </w:pPr>
      <w:r>
        <w:t xml:space="preserve">1.2 Framework Architecture</w:t>
      </w:r>
    </w:p>
    <w:p>
      <w:pPr>
        <w:spacing w:after="200"/>
      </w:pPr>
      <w:r>
        <w:t xml:space="preserve">The framework follows a three-layer architecture for both data derivation and statistical analysis:</w:t>
      </w:r>
    </w:p>
    <w:p>
      <w:pPr>
        <w:spacing w:after="200"/>
      </w:pPr>
      <w:r>
        <w:t xml:space="preserve">Methods define pure operations using named roles. Templates bind Semantic Transformation Concepts to those roles for specific clinical purposes. Implementation provides the physical binding to data standards and generates executable code.</w:t>
      </w:r>
    </w:p>
    <w:p>
      <w:pPr>
        <w:pStyle w:val="Heading1"/>
      </w:pPr>
      <w:r>
        <w:t xml:space="preserve">2. Framework Documents</w:t>
      </w:r>
    </w:p>
    <w:p>
      <w:pPr>
        <w:spacing w:after="200"/>
      </w:pPr>
      <w:r>
        <w:t xml:space="preserve">The AC/DC Framework is defined across two complementary specification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Document</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Clinical Semantic Transformation Model (CSTM)</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Defines WHAT concepts exist: Semantic Transformation Concepts (STCs) at both observation and inference levels, their relationships, and implementation bindings to physical standards.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Templates &amp; DEL</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Defines HOW transformations work: Methods (operations with roles), Templates (clinical patterns binding STCs to Methods), W3C Data Cube integration, and the Derivation Expression Language.</w:t>
            </w:r>
          </w:p>
        </w:tc>
      </w:tr>
    </w:tbl>
    <w:p>
      <w:pPr>
        <w:pStyle w:val="Heading2"/>
      </w:pPr>
      <w:r>
        <w:t xml:space="preserve">2.1 Clinical Semantic Transformation Model (CSTM)</w:t>
      </w:r>
    </w:p>
    <w:p>
      <w:pPr>
        <w:spacing w:after="200"/>
      </w:pPr>
      <w:r>
        <w:t xml:space="preserve">The CSTM is the semantic foundation of the framework. It defines Semantic Transformation Concepts (STCs) organized into two levels based on granularity:</w:t>
      </w:r>
    </w:p>
    <w:p>
      <w:r>
        <w:rPr>
          <w:b/>
          <w:bCs/>
        </w:rPr>
        <w:t xml:space="preserve">Observation-level STCs</w:t>
      </w:r>
    </w:p>
    <w:p>
      <w:pPr>
        <w:spacing w:after="200"/>
      </w:pPr>
      <w:r>
        <w:t xml:space="preserve">Data concepts at the subject/visit/timepoint granularity - inputs and outputs of derivation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Category</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Examples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Value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observation_value, analysis_value, baseline_value, change_value, percent_change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Identity</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study, site, region, subject, sequence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Timing</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timepoint, visit, period, phase, relative_time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Treatment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treatment_planned, treatment_actual, dose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Flag</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population_flag, baseline_flag, treatment_emergent_flag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Time-to-Event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tte_origin, event_date, time_to_event, censor_indicator</w:t>
            </w:r>
          </w:p>
        </w:tc>
      </w:tr>
    </w:tbl>
    <w:p>
      <w:pPr>
        <w:spacing w:before="300"/>
      </w:pPr>
      <w:r>
        <w:rPr>
          <w:b/>
          <w:bCs/>
        </w:rPr>
        <w:t xml:space="preserve">Inference-level STCs</w:t>
      </w:r>
    </w:p>
    <w:p>
      <w:pPr>
        <w:spacing w:after="200"/>
      </w:pPr>
      <w:r>
        <w:t xml:space="preserve">Statistical outputs at the analysis/comparison granularity - outputs of analysis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Category</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Examples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 ls_mean, ls_mean_difference, odds_ratio, hazard_ratio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Interval</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confidence_interval, confidence_interval_lower, confidence_interval_upper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Test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p_value, t_statistic, f_statistic, degrees_of_freedom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Descriptive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count, mean, median, standard_deviation, minimum, maximum</w:t>
            </w:r>
          </w:p>
        </w:tc>
      </w:tr>
    </w:tbl>
    <w:p>
      <w:pPr>
        <w:spacing w:before="300" w:after="200"/>
      </w:pPr>
      <w:r>
        <w:t xml:space="preserve">The CSTM also defines Implementation Bindings that map STCs to physical variables in specific standards (ADaM, SDTM, OMOP, FHIR).</w:t>
      </w:r>
    </w:p>
    <w:p>
      <w:pPr>
        <w:pStyle w:val="Heading2"/>
      </w:pPr>
      <w:r>
        <w:t xml:space="preserve">2.2 Methods, Templates &amp; DEL</w:t>
      </w:r>
    </w:p>
    <w:p>
      <w:pPr>
        <w:spacing w:after="200"/>
      </w:pPr>
      <w:r>
        <w:t xml:space="preserve">This document defines the operational components that specify how derivations and analyses are performed.</w:t>
      </w:r>
    </w:p>
    <w:p>
      <w:r>
        <w:rPr>
          <w:b/>
          <w:bCs/>
        </w:rPr>
        <w:t xml:space="preserve">Methods</w:t>
      </w:r>
    </w:p>
    <w:p>
      <w:pPr>
        <w:spacing w:after="200"/>
      </w:pPr>
      <w:r>
        <w:t xml:space="preserve">Methods are reusable operation specifications with named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Derivation Methods</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Analysis Methods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Purpose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Computational operations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Statistical procedures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Examples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Subtraction, Division, DateDifference, Aggregation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ANCOVA, MMRM, Cox PH, Chi-Square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 arithmetic (difference := minuend - subtrahend)</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Wilkinson-Rogers notation (response ~ covariate + group)</w:t>
            </w:r>
          </w:p>
        </w:tc>
      </w:tr>
    </w:tbl>
    <w:p>
      <w:pPr>
        <w:spacing w:before="300"/>
      </w:pPr>
      <w:r>
        <w:rPr>
          <w:b/>
          <w:bCs/>
        </w:rPr>
        <w:t xml:space="preserve">Templates</w:t>
      </w:r>
    </w:p>
    <w:p>
      <w:pPr>
        <w:spacing w:after="200"/>
      </w:pPr>
      <w:r>
        <w:t xml:space="preserve">Templates bind Semantic Transformation Concepts to Method roles for clinical purposes: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Template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Method</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Clinical Intent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ChangeFromBaseline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Subtraction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Calculate absolute change from baseline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CFB_ANCOVA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ancova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Compare treatment effect on change from baseline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TTE_CoxPH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cox_proportional_hazards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Compare time-to-event between treatment groups</w:t>
            </w:r>
          </w:p>
        </w:tc>
      </w:tr>
    </w:tbl>
    <w:p>
      <w:pPr>
        <w:spacing w:before="300"/>
      </w:pPr>
      <w:r>
        <w:rPr>
          <w:b/>
          <w:bCs/>
        </w:rPr>
        <w:t xml:space="preserve">Derivation Expression Language (DEL)</w:t>
      </w:r>
    </w:p>
    <w:p>
      <w:pPr>
        <w:spacing w:after="200"/>
      </w:pPr>
      <w:r>
        <w:t xml:space="preserve">DEL provides two expression types: arithmetic expressions for derivations and Wilkinson-Rogers notation for statistical models. Both translate to multiple target languages.</w:t>
      </w:r>
    </w:p>
    <w:p>
      <w:pPr>
        <w:pStyle w:val="Heading1"/>
      </w:pPr>
      <w:r>
        <w:t xml:space="preserve">3. How the Documents Connect</w:t>
      </w:r>
    </w:p>
    <w:p>
      <w:pPr>
        <w:spacing w:after="200"/>
      </w:pPr>
      <w:r>
        <w:t xml:space="preserve">The two framework documents form a layered specification where each references the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Connection</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From</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CSTM STCs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 role bindings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 Semantic Transformation Concepts by name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Methods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 uses_method property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References Method by name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Cube Roles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Role binding cube_role property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Assigns measure/dimension/slice role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CSTM Bindings → STCs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Implementation binding table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Maps physical variables to STCs (AVAL → analysis_value)</w:t>
            </w:r>
          </w:p>
        </w:tc>
      </w:tr>
    </w:tbl>
    <w:p>
      <w:pPr>
        <w:pStyle w:val="Heading2"/>
      </w:pPr>
      <w:r>
        <w:t xml:space="preserve">3.1 Example: Change from Baseline Analysis</w:t>
      </w:r>
    </w:p>
    <w:p>
      <w:pPr>
        <w:spacing w:after="200"/>
      </w:pPr>
      <w:r>
        <w:t xml:space="preserve">This example shows how the documents work together for a typical efficacy analysis:</w:t>
      </w:r>
    </w:p>
    <w:p>
      <w:r>
        <w:rPr>
          <w:b/>
          <w:bCs/>
        </w:rPr>
        <w:t xml:space="preserve">1. CSTM defines the concepts:</w:t>
      </w:r>
    </w:p>
    <w:p>
      <w:pPr>
        <w:pStyle w:val="ListParagraph"/>
        <w:numPr>
          <w:ilvl w:val="0"/>
          <w:numId w:val="2"/>
        </w:numPr>
      </w:pPr>
      <w:r>
        <w:t xml:space="preserve">analysis_value (Observation-level STC) - the post-baseline measurement</w:t>
      </w:r>
    </w:p>
    <w:p>
      <w:pPr>
        <w:pStyle w:val="ListParagraph"/>
        <w:numPr>
          <w:ilvl w:val="0"/>
          <w:numId w:val="2"/>
        </w:numPr>
      </w:pPr>
      <w:r>
        <w:t xml:space="preserve">baseline_value (Observation-level STC) - the baseline measurement</w:t>
      </w:r>
    </w:p>
    <w:p>
      <w:pPr>
        <w:pStyle w:val="ListParagraph"/>
        <w:numPr>
          <w:ilvl w:val="0"/>
          <w:numId w:val="2"/>
        </w:numPr>
      </w:pPr>
      <w:r>
        <w:t xml:space="preserve">change_value (Observation-level STC) - the derived change</w:t>
      </w:r>
    </w:p>
    <w:p>
      <w:pPr>
        <w:pStyle w:val="ListParagraph"/>
        <w:numPr>
          <w:ilvl w:val="0"/>
          <w:numId w:val="2"/>
        </w:numPr>
      </w:pPr>
      <w:r>
        <w:t xml:space="preserve">treatment_planned (Observation-level STC) - the randomized treatment</w:t>
      </w:r>
    </w:p>
    <w:p>
      <w:pPr>
        <w:pStyle w:val="ListParagraph"/>
        <w:numPr>
          <w:ilvl w:val="0"/>
          <w:numId w:val="2"/>
        </w:numPr>
      </w:pPr>
      <w:r>
        <w:t xml:space="preserve">p_value, ls_mean (Inference-level STCs) - statistical outputs</w:t>
      </w:r>
    </w:p>
    <w:p>
      <w:pPr>
        <w:spacing w:before="200"/>
      </w:pPr>
      <w:r>
        <w:rPr>
          <w:b/>
          <w:bCs/>
        </w:rPr>
        <w:t xml:space="preserve">2. Methods/Templates/DEL defines the operations:</w:t>
      </w:r>
    </w:p>
    <w:p>
      <w:pPr>
        <w:pStyle w:val="ListParagraph"/>
        <w:numPr>
          <w:ilvl w:val="0"/>
          <w:numId w:val="2"/>
        </w:numPr>
      </w:pPr>
      <w:r>
        <w:t xml:space="preserve">Subtraction Method: difference := minuend - subtrahend</w:t>
      </w:r>
    </w:p>
    <w:p>
      <w:pPr>
        <w:pStyle w:val="ListParagraph"/>
        <w:numPr>
          <w:ilvl w:val="0"/>
          <w:numId w:val="2"/>
        </w:numPr>
      </w:pPr>
      <w:r>
        <w:t xml:space="preserve">ChangeFromBaseline Template: binds analysis_value → minuend, baseline_value → subtrahend</w:t>
      </w:r>
    </w:p>
    <w:p>
      <w:pPr>
        <w:pStyle w:val="ListParagraph"/>
        <w:numPr>
          <w:ilvl w:val="0"/>
          <w:numId w:val="2"/>
        </w:numPr>
      </w:pPr>
      <w:r>
        <w:t xml:space="preserve">ANCOVA Method: response ~ covariate + group</w:t>
      </w:r>
    </w:p>
    <w:p>
      <w:pPr>
        <w:pStyle w:val="ListParagraph"/>
        <w:numPr>
          <w:ilvl w:val="0"/>
          <w:numId w:val="2"/>
        </w:numPr>
      </w:pPr>
      <w:r>
        <w:t xml:space="preserve">CFB_ANCOVA Template: binds change_value → response (measure), baseline_value → covariate, treatment_planned → group (dimension)</w:t>
      </w:r>
    </w:p>
    <w:p>
      <w:pPr>
        <w:spacing w:before="200"/>
      </w:pPr>
      <w:r>
        <w:rPr>
          <w:b/>
          <w:bCs/>
        </w:rPr>
        <w:t xml:space="preserve">3. CSTM provides implementation bindings:</w:t>
      </w:r>
    </w:p>
    <w:p>
      <w:pPr>
        <w:pStyle w:val="ListParagraph"/>
        <w:numPr>
          <w:ilvl w:val="0"/>
          <w:numId w:val="2"/>
        </w:numPr>
      </w:pPr>
      <w:r>
        <w:t xml:space="preserve">ADaM binding: AVAL → analysis_value, BASE → baseline_value, CHG → change_value</w:t>
      </w:r>
    </w:p>
    <w:p>
      <w:pPr>
        <w:pStyle w:val="ListParagraph"/>
        <w:numPr>
          <w:ilvl w:val="0"/>
          <w:numId w:val="2"/>
        </w:numPr>
      </w:pPr>
      <w:r>
        <w:t xml:space="preserve">Code generation: PROC GLM; CLASS TRT; MODEL CHG = BASE TRT;</w:t>
      </w:r>
    </w:p>
    <w:p>
      <w:pPr>
        <w:pStyle w:val="Heading1"/>
      </w:pPr>
      <w:r>
        <w:t xml:space="preserve">4. Recommended Reading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Order</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Document</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Focus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Overview</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Understand the framework architecture and document relationships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CSTM Specification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Learn the vocabulary: Observation-level and Inference-level STCs, and implementation bindings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Templates &amp; DEL</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Understand operations, W3C Data Cube integration, and expression languages</w:t>
            </w:r>
          </w:p>
        </w:tc>
      </w:tr>
    </w:tbl>
    <w:p>
      <w:pPr>
        <w:pStyle w:val="Heading1"/>
      </w:pPr>
      <w:r>
        <w:t xml:space="preserve">5. Key Principles</w:t>
      </w:r>
    </w:p>
    <w:p>
      <w:pPr>
        <w:pStyle w:val="ListParagraph"/>
        <w:numPr>
          <w:ilvl w:val="0"/>
          <w:numId w:val="2"/>
        </w:numPr>
      </w:pPr>
      <w:r>
        <w:t xml:space="preserve">Separation of concerns: WHAT concepts exist (CSTM) vs HOW transformations work (Methods/Templates)</w:t>
      </w:r>
    </w:p>
    <w:p>
      <w:pPr>
        <w:pStyle w:val="ListParagraph"/>
        <w:numPr>
          <w:ilvl w:val="0"/>
          <w:numId w:val="2"/>
        </w:numPr>
      </w:pPr>
      <w:r>
        <w:t xml:space="preserve">Standard-independence: Core specifications work across ADaM, SDTM, OMOP, FHIR</w:t>
      </w:r>
    </w:p>
    <w:p>
      <w:pPr>
        <w:pStyle w:val="ListParagraph"/>
        <w:numPr>
          <w:ilvl w:val="0"/>
          <w:numId w:val="2"/>
        </w:numPr>
      </w:pPr>
      <w:r>
        <w:t xml:space="preserve">Machine-executable: Metadata drives code generation, not human programming</w:t>
      </w:r>
    </w:p>
    <w:p>
      <w:pPr>
        <w:pStyle w:val="ListParagraph"/>
        <w:numPr>
          <w:ilvl w:val="0"/>
          <w:numId w:val="2"/>
        </w:numPr>
      </w:pPr>
      <w:r>
        <w:t xml:space="preserve">Semantic richness: Clinical intent is captured, not just computational steps</w:t>
      </w:r>
    </w:p>
    <w:p>
      <w:pPr>
        <w:pStyle w:val="ListParagraph"/>
        <w:numPr>
          <w:ilvl w:val="0"/>
          <w:numId w:val="2"/>
        </w:numPr>
      </w:pPr>
      <w:r>
        <w:t xml:space="preserve">Unified pattern: Both derivation and analysis follow Method → Template → Implementation</w:t>
      </w:r>
    </w:p>
    <w:p>
      <w:pPr>
        <w:pStyle w:val="ListParagraph"/>
        <w:numPr>
          <w:ilvl w:val="0"/>
          <w:numId w:val="2"/>
        </w:numPr>
      </w:pPr>
      <w:r>
        <w:t xml:space="preserve">CDISC-maintained: Methods and Templates are part of the AC/DC standard library</w:t>
      </w:r>
    </w:p>
    <w:p>
      <w:pPr>
        <w:pStyle w:val="ListParagraph"/>
        <w:numPr>
          <w:ilvl w:val="0"/>
          <w:numId w:val="2"/>
        </w:numPr>
      </w:pPr>
      <w:r>
        <w:t xml:space="preserve">Extensible: Organizations can add custom templates while maintaining compatibility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sz w:val="32"/>
      <w:szCs w:val="32"/>
    </w:rPr>
  </w:style>
  <w:style w:type="paragraph" w:styleId="Heading2">
    <w:name w:val="Heading 2"/>
    <w:basedOn w:val="Normal"/>
    <w:next w:val="Normal"/>
    <w:qFormat/>
    <w:pPr>
      <w:spacing w:before="360" w:after="180"/>
      <w:outlineLvl w:val="1"/>
    </w:pPr>
    <w:rPr>
      <w:rFonts w:ascii="Arial" w:cs="Arial" w:eastAsia="Arial" w:hAnsi="Arial"/>
      <w:b/>
      <w:bCs/>
      <w:sz w:val="28"/>
      <w:szCs w:val="28"/>
    </w:rPr>
  </w:style>
  <w:style w:type="paragraph" w:styleId="Heading3">
    <w:name w:val="Heading 3"/>
    <w:basedOn w:val="Normal"/>
    <w:next w:val="Normal"/>
    <w:qFormat/>
    <w:pPr>
      <w:spacing w:before="240" w:after="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2026-01-26T11:48:22.802Z</dcterms:created>
  <dcterms:modified xsi:type="dcterms:W3CDTF">2026-01-26T11:48:22.804Z</dcterms:modified>
</cp:coreProperties>
</file>

<file path=docProps/custom.xml><?xml version="1.0" encoding="utf-8"?>
<Properties xmlns="http://schemas.openxmlformats.org/officeDocument/2006/custom-properties" xmlns:vt="http://schemas.openxmlformats.org/officeDocument/2006/docPropsVTypes"/>
</file>