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E819" w14:textId="77777777" w:rsidR="00E24FD3" w:rsidRDefault="00E24FD3" w:rsidP="00ED545F">
      <w:pPr>
        <w:pStyle w:val="Heading2"/>
      </w:pPr>
    </w:p>
    <w:p w14:paraId="5A41EB1C" w14:textId="77777777" w:rsidR="00C172BE" w:rsidRDefault="00C172BE" w:rsidP="003476A4">
      <w:r>
        <w:rPr>
          <w:noProof/>
          <w:lang w:eastAsia="en-GB"/>
        </w:rPr>
        <mc:AlternateContent>
          <mc:Choice Requires="wps">
            <w:drawing>
              <wp:anchor distT="0" distB="0" distL="114300" distR="114300" simplePos="0" relativeHeight="251661312" behindDoc="0" locked="1" layoutInCell="1" allowOverlap="1" wp14:anchorId="0716ACBB" wp14:editId="68D73BD9">
                <wp:simplePos x="0" y="0"/>
                <wp:positionH relativeFrom="column">
                  <wp:posOffset>95250</wp:posOffset>
                </wp:positionH>
                <wp:positionV relativeFrom="margin">
                  <wp:posOffset>9525</wp:posOffset>
                </wp:positionV>
                <wp:extent cx="3994150" cy="914400"/>
                <wp:effectExtent l="0" t="0" r="6350" b="0"/>
                <wp:wrapNone/>
                <wp:docPr id="119813233" name="Text Box 4" descr="Factsheet title"/>
                <wp:cNvGraphicFramePr/>
                <a:graphic xmlns:a="http://schemas.openxmlformats.org/drawingml/2006/main">
                  <a:graphicData uri="http://schemas.microsoft.com/office/word/2010/wordprocessingShape">
                    <wps:wsp>
                      <wps:cNvSpPr txBox="1"/>
                      <wps:spPr>
                        <a:xfrm>
                          <a:off x="0" y="0"/>
                          <a:ext cx="3994150" cy="914400"/>
                        </a:xfrm>
                        <a:prstGeom prst="rect">
                          <a:avLst/>
                        </a:prstGeom>
                        <a:noFill/>
                        <a:ln w="6350">
                          <a:noFill/>
                        </a:ln>
                      </wps:spPr>
                      <wps:txbx>
                        <w:txbxContent>
                          <w:p w14:paraId="57EE11CA" w14:textId="77777777" w:rsidR="004329ED" w:rsidRPr="00F7291A" w:rsidRDefault="00740DF2" w:rsidP="004329ED">
                            <w:pPr>
                              <w:pStyle w:val="Heading1"/>
                              <w:spacing w:before="480" w:line="264" w:lineRule="auto"/>
                              <w:rPr>
                                <w:color w:val="222A35" w:themeColor="text2" w:themeShade="80"/>
                                <w:sz w:val="28"/>
                                <w:szCs w:val="48"/>
                              </w:rPr>
                            </w:pPr>
                            <w:r>
                              <w:rPr>
                                <w:color w:val="222A35" w:themeColor="text2" w:themeShade="80"/>
                                <w:sz w:val="28"/>
                                <w:szCs w:val="48"/>
                              </w:rPr>
                              <w:t xml:space="preserve">Climate vulnerability in Southwark</w:t>
                            </w:r>
                            <w:r>
                              <w:rPr>
                                <w:color w:val="222A35" w:themeColor="text2" w:themeShade="80"/>
                                <w:sz w:val="28"/>
                                <w:szCs w:val="48"/>
                              </w:rPr>
                              <w:br/>
                              <w:t xml:space="preserve">Heat hazard, exposure and vulnerability</w:t>
                            </w:r>
                          </w:p>
                          <w:p w14:paraId="632D4BC5" w14:textId="77777777" w:rsidR="00C172BE" w:rsidRPr="00943D33" w:rsidRDefault="00C172BE" w:rsidP="00471B6A">
                            <w:pPr>
                              <w:pStyle w:val="Heading1"/>
                              <w:rPr>
                                <w:sz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16ACBB" id="_x0000_t202" coordsize="21600,21600" o:spt="202" path="m,l,21600r21600,l21600,xe">
                <v:stroke joinstyle="miter"/>
                <v:path gradientshapeok="t" o:connecttype="rect"/>
              </v:shapetype>
              <v:shape id="Text Box 4" o:spid="_x0000_s1026" type="#_x0000_t202" alt="Factsheet title" style="position:absolute;margin-left:7.5pt;margin-top:.75pt;width:314.5pt;height: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L0dCCwIAABwEAAAOAAAAZHJzL2Uyb0RvYy54bWysU11v0zAUfUfiP1h+p0k3qGjUdCqbipCm bVKH9uw6dhPJ8TXXbpPy67l2mnYMnhAvzo3v9znHi5u+Neyg0DdgSz6d5JwpK6Fq7K7k35/XHz5z 5oOwlTBgVcmPyvOb5ft3i84V6gpqMJVCRkWsLzpX8joEV2SZl7VqhZ+AU5acGrAVgX5xl1UoOqre muwqz2dZB1g5BKm8p9u7wcmXqb7WSoZHrb0KzJScZgvpxHRu45ktF6LYoXB1I09jiH+YohWNpabn UnciCLbH5o9SbSMRPOgwkdBmoHUjVdqBtpnmb7bZ1MKptAuB490ZJv//ysqHw8Y9IQv9F+iJwAhI 53zh6TLu02ts45cmZeQnCI9n2FQfmKTL6/n84/QTuST5Zvl8lidcs0u2Qx++KmhZNEqOREtCSxzu faCOFDqGxGYW1o0xiRpjWUdFr6n8bx7KMJYSL7NGK/Tb/rTAFqoj7YUwUO6dXDfU/F748CSQOKZ5 SbfhkQ5tgJrAyeKsBvz5t/sYT9CTl7OONFNy/2MvUHFmvlkiJQpsNHA0tqNh9+0tkAyn9CKcTCYl YDCjqRHaF5LzKnYhl7CSepU8jOZtGJRLz0Gq1SoFkYycCPd242QsHUGKUD73LwLdCe9ATD3AqCZR vIF9iB3gXe0D6CZxEgEdUDzhTBJMVJ2eS9T46/8UdXnUy18AAAD//wMAUEsDBBQABgAIAAAAIQCg 1FuG3AAAAAgBAAAPAAAAZHJzL2Rvd25yZXYueG1sTI9LT8MwEITvSPwHa5G4UadRiVCIUyEeNx6l gAQ3J16SCHsd2U4a/j3LCY7fzmh2ptouzooZQxw8KVivMhBIrTcDdQpeX+7OLkDEpMlo6wkVfGOE bX18VOnS+AM947xPneAQiqVW0Kc0llLGtken48qPSKx9+uB0YgydNEEfONxZmWdZIZ0eiD/0esTr Htuv/eQU2PcY7pssfcw33UPaPcnp7Xb9qNTpyXJ1CSLhkv7M8Fufq0PNnRo/kYnCMp/zlKSgyEGw XGw2zA3fszwHWVfy/4D6BwAA//8DAFBLAQItABQABgAIAAAAIQC2gziS/gAAAOEBAAATAAAAAAAA AAAAAAAAAAAAAABbQ29udGVudF9UeXBlc10ueG1sUEsBAi0AFAAGAAgAAAAhADj9If/WAAAAlAEA AAsAAAAAAAAAAAAAAAAALwEAAF9yZWxzLy5yZWxzUEsBAi0AFAAGAAgAAAAhADAvR0ILAgAAHAQA AA4AAAAAAAAAAAAAAAAALgIAAGRycy9lMm9Eb2MueG1sUEsBAi0AFAAGAAgAAAAhAKDUW4bcAAAA CAEAAA8AAAAAAAAAAAAAAAAAZQQAAGRycy9kb3ducmV2LnhtbFBLBQYAAAAABAAEAPMAAABuBQAA AAA= " filled="f" stroked="f" strokeweight=".5pt">
                <v:textbox inset="0,0,0,0">
                  <w:txbxContent>
                    <w:p w14:paraId="57EE11CA" w14:textId="77777777" w:rsidR="004329ED" w:rsidRPr="00F7291A" w:rsidRDefault="00740DF2" w:rsidP="004329ED">
                      <w:pPr>
                        <w:pStyle w:val="Heading1"/>
                        <w:spacing w:before="480" w:line="264" w:lineRule="auto"/>
                        <w:rPr>
                          <w:color w:val="222A35" w:themeColor="text2" w:themeShade="80"/>
                          <w:sz w:val="28"/>
                          <w:szCs w:val="48"/>
                        </w:rPr>
                      </w:pPr>
                      <w:r>
                        <w:rPr>
                          <w:color w:val="222A35" w:themeColor="text2" w:themeShade="80"/>
                          <w:sz w:val="28"/>
                          <w:szCs w:val="48"/>
                        </w:rPr>
                        <w:t xml:space="preserve">Climate vulnerability in Southwark</w:t>
                      </w:r>
                      <w:r>
                        <w:rPr>
                          <w:color w:val="222A35" w:themeColor="text2" w:themeShade="80"/>
                          <w:sz w:val="28"/>
                          <w:szCs w:val="48"/>
                        </w:rPr>
                        <w:br/>
                        <w:t xml:space="preserve">Heat hazard, exposure and vulnerability</w:t>
                      </w:r>
                    </w:p>
                    <w:p w14:paraId="632D4BC5" w14:textId="77777777" w:rsidR="00C172BE" w:rsidRPr="00943D33" w:rsidRDefault="00C172BE" w:rsidP="00471B6A">
                      <w:pPr>
                        <w:pStyle w:val="Heading1"/>
                        <w:rPr>
                          <w:sz w:val="52"/>
                        </w:rPr>
                      </w:pPr>
                    </w:p>
                  </w:txbxContent>
                </v:textbox>
                <w10:wrap anchory="margin"/>
                <w10:anchorlock/>
              </v:shape>
            </w:pict>
          </mc:Fallback>
        </mc:AlternateContent>
      </w:r>
    </w:p>
    <w:p w:rsidR="B7061B7C" w:rsidRDefault="7A19DE24">
      <w:pPr>
        <w:pStyle w:val="Heading1"/>
      </w:pPr>
      <w:r>
        <w:t xml:space="preserve">Climate vulnerability in Southwark</w:t>
      </w:r>
    </w:p>
    <w:p w:rsidR="F70A766F" w:rsidRDefault="7F97AA73">
      <w:pPr>
        <w:pStyle w:val="Heading2"/>
      </w:pPr>
      <w:r>
        <w:t xml:space="preserve">Climate risk</w:t>
      </w:r>
    </w:p>
    <w:p w:rsidR="7CFFB5E7" w:rsidRDefault="FECE4217">
      <w:r>
        <w:t xml:space="preserve">Climate risk depends on three factors (Greater London Authority and Arup, 2024). The maps below apply them to heat in Southwark.</w:t>
      </w:r>
    </w:p>
    <w:p w:rsidR="B6EAE075" w:rsidRDefault="F071C5B6">
      <w:pPr>
        <w:pStyle w:val="Bulletstyle"/>
      </w:pPr>
      <w:r>
        <w:t xml:space="preserve">hazard: weather and climate events that can cause harm, such as heatwaves; climate change alters how often, how long and how intensely they occur</w:t>
      </w:r>
    </w:p>
    <w:p w:rsidR="BC54C01A" w:rsidRDefault="39D46B62">
      <w:pPr>
        <w:pStyle w:val="Bulletstyle"/>
      </w:pPr>
      <w:r>
        <w:t xml:space="preserve">exposure: where people, property and other resources are, relative to a hazard</w:t>
      </w:r>
    </w:p>
    <w:p w:rsidR="5F939B77" w:rsidRDefault="7E53EF3A">
      <w:pPr>
        <w:pStyle w:val="Bulletstyle"/>
      </w:pPr>
      <w:r>
        <w:t xml:space="preserve">vulnerability: how likely exposed people or property are to be harmed; reduced by the capacity of people and places to adapt</w:t>
      </w:r>
    </w:p>
    <w:p w:rsidR="E8642770" w:rsidRDefault="BDE68C8E">
      <w:pPr>
        <w:pStyle w:val="Heading2"/>
      </w:pPr>
      <w:r>
        <w:t xml:space="preserve">Urban heat island: hazard and exposure</w:t>
      </w:r>
    </w:p>
    <w:p w:rsidR="FE86BAFA" w:rsidRDefault="EF8EA735">
      <w:r>
        <w:t xml:space="preserve">Arup’s UHeatRank, the GLA heat hazard map, ranks every London LSOA from 1 (coolest fifth) to 5 (hottest fifth) by modelled average summer air temperature, June to August 2018 to 2022 (Greater London Authority and Arup, 2024). Air temperature is closer to what people feel than land surface temperature.</w:t>
      </w:r>
    </w:p>
    <w:p w:rsidR="7CC7DAEC" w:rsidRDefault="78DAC10E">
      <w:r>
        <w:t xml:space="preserve">Most of north and central Southwark is rank 4 or 5 (Figure 1a). Ranks fall towards the south; Dulwich and the large parks rank lowest. Dense buildings, hard surfaces and waste heat drive the effect: central London runs about 4.5°C hotter than its rural surroundings (Arup, 2023).</w:t>
      </w:r>
    </w:p>
    <w:p w:rsidR="116E4424" w:rsidRDefault="BE2B37AE">
      <w:r>
        <w:t xml:space="preserve">Greening is the most direct lever. Raising tree cover to 30% across 93 European cities could have prevented 2,644 deaths in summer 2015, about a third of those caused by urban heat islands (Iungman et al., 2023).</w:t>
      </w:r>
    </w:p>
    <w:p w:rsidR="966AB1FE" w:rsidRDefault="9181036A">
      <w:r>
        <w:rPr>
          <w:noProof/>
        </w:rPr>
        <w:drawing>
          <wp:inline distT="0" distB="0" distL="0" distR="0">
            <wp:extent cx="3960000" cy="2841081"/>
            <wp:effectExtent l="0" t="0" r="0" b="0"/>
            <wp:docPr id="878825" name="Picture 878825" descr="Two maps of Southwark by LSOA. (a) UHeatRank from 1 (coolest) to 5 (hottest): most of the north and centre is rank 4 or 5. (b) Neighbourhood heat vulnerability from 1 (lower) to 5 (higher): highest in the north-west and centre-north, with clusters in the east and far south; Rotherhithe and most of the south scor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25" name="Picture 878825" descr="Two maps of Southwark by LSOA. (a) UHeatRank from 1 (coolest) to 5 (hottest): most of the north and centre is rank 4 or 5. (b) Neighbourhood heat vulnerability from 1 (lower) to 5 (higher): highest in the north-west and centre-north, with clusters in the east and far south; Rotherhithe and most of the south score low."/>
                    <pic:cNvPicPr/>
                  </pic:nvPicPr>
                  <pic:blipFill>
                    <a:blip r:embed="rIdImg1"/>
                    <a:stretch>
                      <a:fillRect/>
                    </a:stretch>
                  </pic:blipFill>
                  <pic:spPr>
                    <a:xfrm>
                      <a:off x="0" y="0"/>
                      <a:ext cx="3960000" cy="2841081"/>
                    </a:xfrm>
                    <a:prstGeom prst="rect">
                      <a:avLst/>
                    </a:prstGeom>
                  </pic:spPr>
                </pic:pic>
              </a:graphicData>
            </a:graphic>
          </wp:inline>
        </w:drawing>
      </w:r>
    </w:p>
    <w:p w:rsidR="B13D7B36" w:rsidRDefault="1AA33A07">
      <w:r>
        <w:t xml:space="preserve">Figure 1. (a) UHeatRank by LSOA. Source: Greater London Authority and Arup (2024). (b) Neighbourhood heat vulnerability by LSOA, 1 (lower) to 5 (higher). Source: Sayers and Partners (2025).</w:t>
      </w:r>
    </w:p>
    <w:p w:rsidR="E03648E8" w:rsidRDefault="D14DE356">
      <w:pPr>
        <w:pStyle w:val="Heading2"/>
      </w:pPr>
      <w:r>
        <w:t xml:space="preserve">Neighbourhood heat vulnerability</w:t>
      </w:r>
    </w:p>
    <w:p w:rsidR="B9ACB879" w:rsidRDefault="9B7D4C41">
      <w:r>
        <w:t xml:space="preserve">Vulnerability comes from how personal, environmental and social factors combine (Sayers and Partners, 2025):</w:t>
      </w:r>
    </w:p>
    <w:p w:rsidR="9D53C3EA" w:rsidRDefault="1C2FE448">
      <w:pPr>
        <w:pStyle w:val="Bulletstyle"/>
      </w:pPr>
      <w:r>
        <w:t xml:space="preserve">personal: age and health, which set sensitivity to heat</w:t>
      </w:r>
    </w:p>
    <w:p w:rsidR="E7C996B7" w:rsidRDefault="D77D1CD9">
      <w:pPr>
        <w:pStyle w:val="Bulletstyle"/>
      </w:pPr>
      <w:r>
        <w:t xml:space="preserve">environmental: green space, housing quality and building form, which raise or offset exposure</w:t>
      </w:r>
    </w:p>
    <w:p w:rsidR="98B61FBB" w:rsidRDefault="2FA9026B">
      <w:pPr>
        <w:pStyle w:val="Bulletstyle"/>
      </w:pPr>
      <w:r>
        <w:t xml:space="preserve">social and institutional: income, inequality, social networks, neighbourhood cohesion and how institutions such as care homes operate, which shape the ability to adapt</w:t>
      </w:r>
    </w:p>
    <w:p w:rsidR="C42CF638" w:rsidRDefault="413D9681">
      <w:r>
        <w:t xml:space="preserve">Vulnerability is highest in the north-west and centre-north of the borough, with smaller clusters in the east and far south (Figure 1b). It does not simply follow heat: Rotherhithe ranks hot but scores low for vulnerability. The highest scores mark where hard urban form, homes poorly suited to heat (flats and top floors with limited ventilation) and residents less able to cope (older people, those with health conditions, low-income households) coincide. Many of these areas are among the most deprived, so heat risk and disadvantage reinforce each other.</w:t>
      </w:r>
    </w:p>
    <w:p w:rsidR="77AEBBB3" w:rsidRDefault="64FEA3CD">
      <w:r>
        <w:t xml:space="preserve">Southwark’s Hot Weather and Health JSNA confirms the pattern (Southwark Council, 2025):</w:t>
      </w:r>
    </w:p>
    <w:p w:rsidR="13B89B5D" w:rsidRDefault="3F6A4EE1">
      <w:pPr>
        <w:pStyle w:val="Bulletstyle"/>
      </w:pPr>
      <w:r>
        <w:t xml:space="preserve">over half of Southwark is at risk of regular overheating at 1.5°C of warming</w:t>
      </w:r>
    </w:p>
    <w:p w:rsidR="FBB5D994" w:rsidRDefault="A0135B12">
      <w:pPr>
        <w:pStyle w:val="Bulletstyle"/>
      </w:pPr>
      <w:r>
        <w:t xml:space="preserve">up to 123,000 residents are at higher risk from heat because of underlying health conditions</w:t>
      </w:r>
    </w:p>
    <w:p w:rsidR="10ADB3E8" w:rsidRDefault="96632A6E">
      <w:pPr>
        <w:pStyle w:val="Bulletstyle"/>
      </w:pPr>
      <w:r>
        <w:t xml:space="preserve">residents of the most disadvantaged wards worry about keeping their home cool at close to three times the rate of those in the least disadvantaged</w:t>
      </w:r>
    </w:p>
    <w:p w:rsidR="ECE886D7" w:rsidRDefault="F8B212EC">
      <w:pPr>
        <w:pStyle w:val="Bulletstyle"/>
      </w:pPr>
      <w:r>
        <w:t xml:space="preserve">all 38 homes in an indoor monitoring sample exceeded 25°C, the level the NHS advises indoor temperatures should not regularly pass</w:t>
      </w:r>
    </w:p>
    <w:p w:rsidR="F146856B" w:rsidRDefault="8B25A862">
      <w:pPr>
        <w:pStyle w:val="Bulletstyle"/>
      </w:pPr>
      <w:r>
        <w:t xml:space="preserve">rough sleepers, older adults living alone and people with mental health, respiratory or cardiovascular conditions are over-represented among those most affected</w:t>
      </w:r>
    </w:p>
    <w:p w:rsidR="F2541EF1" w:rsidRDefault="8B3B2A74">
      <w:pPr>
        <w:pStyle w:val="Heading2"/>
      </w:pPr>
      <w:r>
        <w:t xml:space="preserve">Green cover</w:t>
      </w:r>
    </w:p>
    <w:p w:rsidR="EE149F58" w:rsidRDefault="903E0FA3">
      <w:r>
        <w:rPr>
          <w:noProof/>
        </w:rPr>
        <w:drawing>
          <wp:inline distT="0" distB="0" distL="0" distR="0">
            <wp:extent cx="2880000" cy="2916340"/>
            <wp:effectExtent l="0" t="0" r="0" b="0"/>
            <wp:docPr id="447109" name="Picture 447109" descr="Map of Southwark showing green cover (light green) and tree cover (dark green). Cover is dense in the south around Dulwich and sparse across the north, apart from Burgess Park and Southwark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09" name="Picture 447109" descr="Map of Southwark showing green cover (light green) and tree cover (dark green). Cover is dense in the south around Dulwich and sparse across the north, apart from Burgess Park and Southwark Park."/>
                    <pic:cNvPicPr/>
                  </pic:nvPicPr>
                  <pic:blipFill>
                    <a:blip r:embed="rIdImg2"/>
                    <a:stretch>
                      <a:fillRect/>
                    </a:stretch>
                  </pic:blipFill>
                  <pic:spPr>
                    <a:xfrm>
                      <a:off x="0" y="0"/>
                      <a:ext cx="2880000" cy="2916340"/>
                    </a:xfrm>
                    <a:prstGeom prst="rect">
                      <a:avLst/>
                    </a:prstGeom>
                  </pic:spPr>
                </pic:pic>
              </a:graphicData>
            </a:graphic>
          </wp:inline>
        </w:drawing>
      </w:r>
    </w:p>
    <w:p w:rsidR="29F908C9" w:rsidRDefault="D0E105C3">
      <w:r>
        <w:t xml:space="preserve">Figure 2. Green and tree cover, Southwark. Source: Southwark Council.</w:t>
      </w:r>
    </w:p>
    <w:p w:rsidR="51FEF173" w:rsidRDefault="F2C42026">
      <w:r>
        <w:t xml:space="preserve">Green and tree cover is dense in the south and sparse across the north, apart from Burgess Park and Southwark Park. Set against Figure 1, the greenest areas are the coolest, and the least green are both hottest and most vulnerable. Placing canopy, planting and permeable surfaces where heat and vulnerability overlap directs cooling to the residents most exposed.</w:t>
      </w:r>
    </w:p>
    <w:p w:rsidR="1B98FADA" w:rsidRDefault="9F7EAEA2">
      <w:pPr>
        <w:pStyle w:val="Heading2"/>
      </w:pPr>
      <w:r>
        <w:t xml:space="preserve">Estates</w:t>
      </w:r>
    </w:p>
    <w:p w:rsidR="F5B51DFD" w:rsidRDefault="89F95506">
      <w:r>
        <w:t xml:space="preserve">We have modelled heat vulnerability across Southwark’s housing estates using the GLA method (Greater London Authority and Arup, 2024). It shows where building form and resident vulnerability combine to give the highest risk: a ranked basis for passive cooling, shading, ventilation and retrofit.</w:t>
      </w:r>
    </w:p>
    <w:p w:rsidR="DC2A15F1" w:rsidRDefault="C5CF39C0">
      <w:r>
        <w:rPr>
          <w:noProof/>
        </w:rPr>
        <w:drawing>
          <wp:inline distT="0" distB="0" distL="0" distR="0">
            <wp:extent cx="4680000" cy="3705422"/>
            <wp:effectExtent l="0" t="0" r="0" b="0"/>
            <wp:docPr id="332686" name="Picture 332686" descr="Two street maps of Southwark. (a) Council estates shaded by property heat vulnerability score from 5 to 11: high scores cluster in Walworth, Bermondsey, Camberwell and Peckham. (b) School sites shaded by school heat vulnerability score from 5 to 11: the darkest sites are in Borough, Walworth, Camberwell and Peck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6" name="Picture 332686" descr="Two street maps of Southwark. (a) Council estates shaded by property heat vulnerability score from 5 to 11: high scores cluster in Walworth, Bermondsey, Camberwell and Peckham. (b) School sites shaded by school heat vulnerability score from 5 to 11: the darkest sites are in Borough, Walworth, Camberwell and Peckham."/>
                    <pic:cNvPicPr/>
                  </pic:nvPicPr>
                  <pic:blipFill>
                    <a:blip r:embed="rIdImg3"/>
                    <a:stretch>
                      <a:fillRect/>
                    </a:stretch>
                  </pic:blipFill>
                  <pic:spPr>
                    <a:xfrm>
                      <a:off x="0" y="0"/>
                      <a:ext cx="4680000" cy="3705422"/>
                    </a:xfrm>
                    <a:prstGeom prst="rect">
                      <a:avLst/>
                    </a:prstGeom>
                  </pic:spPr>
                </pic:pic>
              </a:graphicData>
            </a:graphic>
          </wp:inline>
        </w:drawing>
      </w:r>
    </w:p>
    <w:p w:rsidR="BF40FD3A" w:rsidRDefault="DE10CF45">
      <w:r>
        <w:t xml:space="preserve">Figure 3. (a) Property heat vulnerability, council estates. Source: Southwark Council, GLA method. (b) School heat vulnerability index by site. Source: Southwark Council (2026). Scores run from 5 (lower) to 11 (higher).</w:t>
      </w:r>
    </w:p>
    <w:p w:rsidR="F9AF6EB0" w:rsidRDefault="4B131870">
      <w:r>
        <w:t xml:space="preserve">The highest-scoring estates (Figure 3a) cluster in Walworth, Bermondsey, Camberwell and Peckham. The model informs Awaab’s Law Phase 2, by showing where heat defects are likely to coincide with vulnerable residents, and the Decent Homes Standard, by identifying the homes most in need of retrofit and shading.</w:t>
      </w:r>
    </w:p>
    <w:p w:rsidR="E0B6BAD8" w:rsidRDefault="6624B7DA">
      <w:pPr>
        <w:pStyle w:val="Heading2"/>
      </w:pPr>
      <w:r>
        <w:t xml:space="preserve">Council homes</w:t>
      </w:r>
    </w:p>
    <w:p w:rsidR="77C86268" w:rsidRDefault="E64B4F4A">
      <w:r>
        <w:t xml:space="preserve">Southwark is the largest social landlord in London. Much of its stock, including many purpose-built and high-rise flats, predates current ventilation and shading standards: the combination the national assessment rates highest risk (Southwark Council, 2025). The Hot Homes pilot has shortlisted estates using the GLA and Arup data with social heat vulnerability data, and is due for implementation in spring or summer 2027.</w:t>
      </w:r>
    </w:p>
    <w:p w:rsidR="1B16B74A" w:rsidRDefault="24CC246F">
      <w:r>
        <w:t xml:space="preserve">National modelling for the Climate Change Committee compared five adaptation packages, rolled out to the 30% of neighbourhoods at highest risk. BCR is the benefit to cost ratio (Arup, 2026).</w:t>
      </w:r>
    </w:p>
    <w:tbl>
      <w:tblPr>
        <w:tblW w:w="8364" w:type="dxa"/>
        <w:tblInd w:w="-5" w:type="dxa"/>
        <w:tblLayout w:type="fixed"/>
        <w:tblCellMar>
          <w:left w:w="0" w:type="dxa"/>
          <w:right w:w="0" w:type="dxa"/>
        </w:tblCellMar>
        <w:tblLook w:val="0000" w:firstRow="0" w:lastRow="0" w:firstColumn="0" w:lastColumn="0" w:noHBand="0" w:noVBand="0"/>
      </w:tblPr>
      <w:tblGrid>
        <w:gridCol w:w="2091"/>
        <w:gridCol w:w="2091"/>
        <w:gridCol w:w="2091"/>
        <w:gridCol w:w="2091"/>
      </w:tblGrid>
      <w:tr w:rsidR="20E5983D">
        <w:trPr>
          <w:trHeight w:val="130"/>
        </w:trPr>
        <w:tc>
          <w:tcPr>
            <w:tcW w:w="2091" w:type="dxa"/>
            <w:tcBorders>
              <w:top w:val="single" w:sz="4" w:space="0" w:color="000000"/>
              <w:left w:val="single" w:sz="4" w:space="0" w:color="000000"/>
              <w:bottom w:val="single" w:sz="4" w:space="0" w:color="000000"/>
              <w:right w:val="single" w:sz="4" w:space="0" w:color="000000"/>
            </w:tcBorders>
            <w:shd w:val="solid" w:color="C9D963" w:fill="auto"/>
            <w:tcMar>
              <w:top w:w="170" w:type="dxa"/>
              <w:left w:w="170" w:type="dxa"/>
              <w:bottom w:w="170" w:type="dxa"/>
              <w:right w:w="170" w:type="dxa"/>
            </w:tcMar>
          </w:tcPr>
          <w:p w:rsidR="EA556328" w:rsidRDefault="4BCD75EB">
            <w:r>
              <w:rPr>
                <w:rFonts w:ascii="Arial" w:hAnsi="Arial" w:cs="Arial"/>
                <w:b/>
                <w:bCs/>
                <w:szCs w:val="20"/>
              </w:rPr>
              <w:t xml:space="preserve">Package</w:t>
            </w:r>
          </w:p>
        </w:tc>
        <w:tc>
          <w:tcPr>
            <w:tcW w:w="2091" w:type="dxa"/>
            <w:tcBorders>
              <w:top w:val="single" w:sz="4" w:space="0" w:color="000000"/>
              <w:left w:val="single" w:sz="4" w:space="0" w:color="000000"/>
              <w:bottom w:val="single" w:sz="4" w:space="0" w:color="000000"/>
              <w:right w:val="single" w:sz="4" w:space="0" w:color="000000"/>
            </w:tcBorders>
            <w:shd w:val="solid" w:color="C9D963" w:fill="auto"/>
            <w:tcMar>
              <w:top w:w="170" w:type="dxa"/>
              <w:left w:w="170" w:type="dxa"/>
              <w:bottom w:w="170" w:type="dxa"/>
              <w:right w:w="170" w:type="dxa"/>
            </w:tcMar>
          </w:tcPr>
          <w:p w:rsidR="111FD832" w:rsidRDefault="1C88AB47">
            <w:r>
              <w:rPr>
                <w:rFonts w:ascii="Arial" w:hAnsi="Arial" w:cs="Arial"/>
                <w:b/>
                <w:bCs/>
                <w:szCs w:val="20"/>
              </w:rPr>
              <w:t xml:space="preserve">Measures</w:t>
            </w:r>
          </w:p>
        </w:tc>
        <w:tc>
          <w:tcPr>
            <w:tcW w:w="2091" w:type="dxa"/>
            <w:tcBorders>
              <w:top w:val="single" w:sz="4" w:space="0" w:color="000000"/>
              <w:left w:val="single" w:sz="4" w:space="0" w:color="000000"/>
              <w:bottom w:val="single" w:sz="4" w:space="0" w:color="000000"/>
              <w:right w:val="single" w:sz="4" w:space="0" w:color="000000"/>
            </w:tcBorders>
            <w:shd w:val="solid" w:color="C9D963" w:fill="auto"/>
            <w:tcMar>
              <w:top w:w="170" w:type="dxa"/>
              <w:left w:w="170" w:type="dxa"/>
              <w:bottom w:w="170" w:type="dxa"/>
              <w:right w:w="170" w:type="dxa"/>
            </w:tcMar>
          </w:tcPr>
          <w:p w:rsidR="7C88AE77" w:rsidRDefault="C88F424A">
            <w:r>
              <w:rPr>
                <w:rFonts w:ascii="Arial" w:hAnsi="Arial" w:cs="Arial"/>
                <w:b/>
                <w:bCs/>
                <w:szCs w:val="20"/>
              </w:rPr>
              <w:t xml:space="preserve">BCR central</w:t>
            </w:r>
          </w:p>
        </w:tc>
        <w:tc>
          <w:tcPr>
            <w:tcW w:w="2091" w:type="dxa"/>
            <w:tcBorders>
              <w:top w:val="single" w:sz="4" w:space="0" w:color="000000"/>
              <w:left w:val="single" w:sz="4" w:space="0" w:color="000000"/>
              <w:bottom w:val="single" w:sz="4" w:space="0" w:color="000000"/>
              <w:right w:val="single" w:sz="4" w:space="0" w:color="000000"/>
            </w:tcBorders>
            <w:shd w:val="solid" w:color="C9D963" w:fill="auto"/>
            <w:tcMar>
              <w:top w:w="170" w:type="dxa"/>
              <w:left w:w="170" w:type="dxa"/>
              <w:bottom w:w="170" w:type="dxa"/>
              <w:right w:w="170" w:type="dxa"/>
            </w:tcMar>
          </w:tcPr>
          <w:p w:rsidR="2606F723" w:rsidRDefault="0DC29B72">
            <w:r>
              <w:rPr>
                <w:rFonts w:ascii="Arial" w:hAnsi="Arial" w:cs="Arial"/>
                <w:b/>
                <w:bCs/>
                <w:szCs w:val="20"/>
              </w:rPr>
              <w:t xml:space="preserve">BCR high warming</w:t>
            </w:r>
          </w:p>
        </w:tc>
      </w:tr>
      <w:tr w:rsidR="51CA8032">
        <w:trPr>
          <w:trHeight w:val="130"/>
        </w:trPr>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CCB4473C" w:rsidRDefault="8152BDBF">
            <w:r>
              <w:rPr>
                <w:rFonts w:ascii="Arial" w:hAnsi="Arial" w:cs="Arial"/>
                <w:szCs w:val="20"/>
              </w:rPr>
              <w:t xml:space="preserve">A Foundational</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D4C13D95" w:rsidRDefault="1FF06F65">
            <w:r>
              <w:rPr>
                <w:rFonts w:ascii="Arial" w:hAnsi="Arial" w:cs="Arial"/>
                <w:szCs w:val="20"/>
              </w:rPr>
              <w:t xml:space="preserve">shading, ventilation, insulation, blinds</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62474D8A" w:rsidRDefault="7F96882F">
            <w:r>
              <w:rPr>
                <w:rFonts w:ascii="Arial" w:hAnsi="Arial" w:cs="Arial"/>
                <w:szCs w:val="20"/>
              </w:rPr>
              <w:t xml:space="preserve">0.1</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9606DFC4" w:rsidRDefault="9BC060D1">
            <w:r>
              <w:rPr>
                <w:rFonts w:ascii="Arial" w:hAnsi="Arial" w:cs="Arial"/>
                <w:szCs w:val="20"/>
              </w:rPr>
              <w:t xml:space="preserve">below 1</w:t>
            </w:r>
          </w:p>
        </w:tc>
      </w:tr>
      <w:tr w:rsidR="BC0D9A4E">
        <w:trPr>
          <w:trHeight w:val="130"/>
        </w:trPr>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2FBD1C97" w:rsidRDefault="2A1CE4C1">
            <w:r>
              <w:rPr>
                <w:rFonts w:ascii="Arial" w:hAnsi="Arial" w:cs="Arial"/>
                <w:szCs w:val="20"/>
              </w:rPr>
              <w:t xml:space="preserve">B, C Enhanced</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F914F5C5" w:rsidRDefault="61E676E4">
            <w:r>
              <w:rPr>
                <w:rFonts w:ascii="Arial" w:hAnsi="Arial" w:cs="Arial"/>
                <w:szCs w:val="20"/>
              </w:rPr>
              <w:t xml:space="preserve">A plus green, blue and urban cooling</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F9B63A93" w:rsidRDefault="24D6FA8B">
            <w:r>
              <w:rPr>
                <w:rFonts w:ascii="Arial" w:hAnsi="Arial" w:cs="Arial"/>
                <w:szCs w:val="20"/>
              </w:rPr>
              <w:t xml:space="preserve">0.02 to 0.03</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A614FBF4" w:rsidRDefault="6DB9290E">
            <w:r>
              <w:rPr>
                <w:rFonts w:ascii="Arial" w:hAnsi="Arial" w:cs="Arial"/>
                <w:szCs w:val="20"/>
              </w:rPr>
              <w:t xml:space="preserve">below 1</w:t>
            </w:r>
          </w:p>
        </w:tc>
      </w:tr>
      <w:tr w:rsidR="B230675C">
        <w:trPr>
          <w:trHeight w:val="130"/>
        </w:trPr>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7FA67C42" w:rsidRDefault="93B296D3">
            <w:r>
              <w:rPr>
                <w:rFonts w:ascii="Arial" w:hAnsi="Arial" w:cs="Arial"/>
                <w:szCs w:val="20"/>
              </w:rPr>
              <w:t xml:space="preserve">D Active cooling</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BCF0AA2C" w:rsidRDefault="6B0F1D2E">
            <w:r>
              <w:rPr>
                <w:rFonts w:ascii="Arial" w:hAnsi="Arial" w:cs="Arial"/>
                <w:szCs w:val="20"/>
              </w:rPr>
              <w:t xml:space="preserve">air conditioning</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55D48957" w:rsidRDefault="F8998D8D">
            <w:r>
              <w:rPr>
                <w:rFonts w:ascii="Arial" w:hAnsi="Arial" w:cs="Arial"/>
                <w:szCs w:val="20"/>
              </w:rPr>
              <w:t xml:space="preserve">3.2</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0B625944" w:rsidRDefault="00D77CEE">
            <w:r>
              <w:rPr>
                <w:rFonts w:ascii="Arial" w:hAnsi="Arial" w:cs="Arial"/>
                <w:szCs w:val="20"/>
              </w:rPr>
              <w:t xml:space="preserve">6.3</w:t>
            </w:r>
          </w:p>
        </w:tc>
      </w:tr>
      <w:tr w:rsidR="1353ECEF">
        <w:trPr>
          <w:trHeight w:val="130"/>
        </w:trPr>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D971629D" w:rsidRDefault="1728EC0C">
            <w:r>
              <w:rPr>
                <w:rFonts w:ascii="Arial" w:hAnsi="Arial" w:cs="Arial"/>
                <w:szCs w:val="20"/>
              </w:rPr>
              <w:t xml:space="preserve">E Integrated</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278FDF4B" w:rsidRDefault="5373194B">
            <w:r>
              <w:rPr>
                <w:rFonts w:ascii="Arial" w:hAnsi="Arial" w:cs="Arial"/>
                <w:szCs w:val="20"/>
              </w:rPr>
              <w:t xml:space="preserve">passive plus targeted active cooling</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BCA314EB" w:rsidRDefault="6CF24345">
            <w:r>
              <w:rPr>
                <w:rFonts w:ascii="Arial" w:hAnsi="Arial" w:cs="Arial"/>
                <w:szCs w:val="20"/>
              </w:rPr>
              <w:t xml:space="preserve">3.0</w:t>
            </w:r>
          </w:p>
        </w:tc>
        <w:tc>
          <w:tcPr>
            <w:tcW w:w="2091"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rsidR="E09262F3" w:rsidRDefault="44E8F035">
            <w:r>
              <w:rPr>
                <w:rFonts w:ascii="Arial" w:hAnsi="Arial" w:cs="Arial"/>
                <w:szCs w:val="20"/>
              </w:rPr>
              <w:t xml:space="preserve">6.0</w:t>
            </w:r>
          </w:p>
        </w:tc>
      </w:tr>
    </w:tbl>
    <w:p w:rsidR="CEC6F17B" w:rsidRDefault="1597B5CC">
      <w:r>
        <w:t xml:space="preserve">Extending package E to the 45% of neighbourhoods at highest risk keeps heat deaths just below today’s level to 2059, with a benefit to cost ratio of 2.6 (Arup, 2026).</w:t>
      </w:r>
    </w:p>
    <w:p w:rsidR="41516E64" w:rsidRDefault="D07D0ACE">
      <w:r>
        <w:t xml:space="preserve">Passive measures remain the right first step for the pilot: lower cost, faster to deliver, and free of the energy and emissions trade-offs of active cooling. Alone, they are unlikely to close the gap the borough’s heat data imply. The case for targeted active cooling in the highest-risk homes, once the pilot’s evidence is in, is likely to strengthen.</w:t>
      </w:r>
    </w:p>
    <w:p w:rsidR="4268B62F" w:rsidRDefault="781FA80C">
      <w:pPr>
        <w:pStyle w:val="Heading2"/>
      </w:pPr>
      <w:r>
        <w:t xml:space="preserve">Schools</w:t>
      </w:r>
    </w:p>
    <w:p w:rsidR="45B31862" w:rsidRDefault="9BAE34FD">
      <w:r>
        <w:t xml:space="preserve">A schools heat risk assessment, carried out during the red heat-health alert of June 2026, ranks all 116 open schools using the GLA and Arup school heat vulnerability index, applied to each school’s LSOA (Southwark Council, 2026; Greater London Authority and Arup, 2024).</w:t>
      </w:r>
    </w:p>
    <w:p w:rsidR="D4E28E0A" w:rsidRDefault="2EE5B138">
      <w:pPr>
        <w:pStyle w:val="Bulletstyle"/>
      </w:pPr>
      <w:r>
        <w:t xml:space="preserve">61 schools are in the higher vulnerability tier, 37 moderate and 18 lower</w:t>
      </w:r>
    </w:p>
    <w:p w:rsidR="3FCAF770" w:rsidRDefault="9D4A0CDB">
      <w:pPr>
        <w:pStyle w:val="Bulletstyle"/>
      </w:pPr>
      <w:r>
        <w:t xml:space="preserve">75 sit in areas of elevated urban heat</w:t>
      </w:r>
    </w:p>
    <w:p w:rsidR="24143CEC" w:rsidRDefault="FB839FAA">
      <w:pPr>
        <w:pStyle w:val="Bulletstyle"/>
      </w:pPr>
      <w:r>
        <w:t xml:space="preserve">83 have early years pupils, including 45 in the higher tier</w:t>
      </w:r>
    </w:p>
    <w:p w:rsidR="CBCDFEF6" w:rsidRDefault="7F296268">
      <w:pPr>
        <w:pStyle w:val="Bulletstyle"/>
      </w:pPr>
      <w:r>
        <w:t xml:space="preserve">29 have tree canopy below the borough lower quartile, including 17 in the higher tier</w:t>
      </w:r>
    </w:p>
    <w:p w:rsidR="D4DF558B" w:rsidRDefault="95C295EB">
      <w:r>
        <w:t xml:space="preserve">The darkest school sites (Figure 3b) combine elevated heat, many young or vulnerable pupils and little shade. They are the natural starting point for shading, tree planting and cooling ventilation within schools capital programmes, subject to funding, stock condition and school support. All schools will face excess heat in heatwaves.</w:t>
      </w:r>
    </w:p>
    <w:p w:rsidR="D6A3EA5B" w:rsidRDefault="D1EC9032">
      <w:r>
        <w:t xml:space="preserve">National evidence points the same way. Days with classrooms at 35°C or more, when learning becomes very difficult, are projected to rise from 1.7 a year now to 2.9 at 2°C of warming and 7.8 at 4°C. Learning days lost to generally warmer temperatures rise from 6.7 to 8.2 and 11.4 (Department for Education, 2025). Under high warming by the 2080s, lost learning could reach 14 days a year, with children in southern England facing severe loss of cognitive performance for over 80% of the spring and summer months (Climate Change Committee, 2026).</w:t>
      </w:r>
    </w:p>
    <w:p w:rsidR="1E0EF71F" w:rsidRDefault="0866EC31">
      <w:r>
        <w:t xml:space="preserve">The LLFA has also completed SuDS opportunity modelling for schools to reduce surface water flood risk.</w:t>
      </w:r>
    </w:p>
    <w:p w:rsidR="DF709676" w:rsidRDefault="11CE8349">
      <w:pPr>
        <w:pStyle w:val="Heading2"/>
      </w:pPr>
      <w:r>
        <w:t xml:space="preserve">Works cited</w:t>
      </w:r>
    </w:p>
    <w:p w:rsidR="349590F5" w:rsidRDefault="A29A53BD">
      <w:r>
        <w:t xml:space="preserve">Arup (2023) Urban Heat Snapshot. London: Arup. Available at: </w:t>
      </w:r>
      <w:hyperlink r:id="rIdLink4" w:history="1">
        <w:r>
          <w:rPr>
            <w:rStyle w:val="Hyperlink"/>
          </w:rPr>
          <w:t xml:space="preserve">arup.com/insights/urban-heat-snapshot</w:t>
        </w:r>
      </w:hyperlink>
      <w:r>
        <w:t xml:space="preserve"> (Accessed: 29 September 2026).</w:t>
      </w:r>
    </w:p>
    <w:p w:rsidR="D8159EC7" w:rsidRDefault="052C35E9">
      <w:r>
        <w:t xml:space="preserve">Arup (2026) Heat Risk and Adaptation in the Urban Built Environment: An Analysis of Impacts on Health and Productivity in the UK’s Towns and Cities. Report for the Climate Change Committee. London: Arup. Available at: </w:t>
      </w:r>
      <w:hyperlink r:id="rIdLink5" w:history="1">
        <w:r>
          <w:rPr>
            <w:rStyle w:val="Hyperlink"/>
          </w:rPr>
          <w:t xml:space="preserve">arup.com</w:t>
        </w:r>
      </w:hyperlink>
      <w:r>
        <w:t xml:space="preserve"> (Accessed: 29 September 2026).</w:t>
      </w:r>
    </w:p>
    <w:p w:rsidR="1919FA59" w:rsidRDefault="DDB7FA36">
      <w:r>
        <w:t xml:space="preserve">Climate Change Committee (2026) CCRA4-IA Technical Report Chapter 4: Built Environment. London: Climate Change Committee. Available at: </w:t>
      </w:r>
      <w:hyperlink r:id="rIdLink6" w:history="1">
        <w:r>
          <w:rPr>
            <w:rStyle w:val="Hyperlink"/>
          </w:rPr>
          <w:t xml:space="preserve">ukclimaterisk.org</w:t>
        </w:r>
      </w:hyperlink>
      <w:r>
        <w:t xml:space="preserve"> (Accessed: 29 September 2026).</w:t>
      </w:r>
    </w:p>
    <w:p w:rsidR="42AB4E9C" w:rsidRDefault="B04E5C3E">
      <w:r>
        <w:t xml:space="preserve">Department for Education (2025) Impact of UK Climate Change Risk on the Delivery of Education: Summary of Findings in Relation to 3 Climate Risks. London: Department for Education. Available at: </w:t>
      </w:r>
      <w:hyperlink r:id="rIdLink7" w:history="1">
        <w:r>
          <w:rPr>
            <w:rStyle w:val="Hyperlink"/>
          </w:rPr>
          <w:t xml:space="preserve">gov.uk</w:t>
        </w:r>
      </w:hyperlink>
      <w:r>
        <w:t xml:space="preserve"> (Accessed: 29 September 2026).</w:t>
      </w:r>
    </w:p>
    <w:p w:rsidR="554BDF9D" w:rsidRDefault="37798189">
      <w:r>
        <w:t xml:space="preserve">Greater London Authority and Arup (2024) Properties Vulnerable to Heat Impacts in London: Prioritisation for Adaptation Interventions. London: Greater London Authority. Available at: </w:t>
      </w:r>
      <w:hyperlink r:id="rIdLink8" w:history="1">
        <w:r>
          <w:rPr>
            <w:rStyle w:val="Hyperlink"/>
          </w:rPr>
          <w:t xml:space="preserve">london.gov.uk</w:t>
        </w:r>
      </w:hyperlink>
      <w:r>
        <w:t xml:space="preserve"> (Accessed: 29 September 2026).</w:t>
      </w:r>
    </w:p>
    <w:p w:rsidR="C65901C4" w:rsidRDefault="FBDEFB85">
      <w:r>
        <w:t xml:space="preserve">Iungman, T. et al. (2023) ’Cooling cities through urban green infrastructure: a health impact assessment of European cities’, The Lancet, 401(10376), pp. 577 to 589. Available at: </w:t>
      </w:r>
      <w:hyperlink r:id="rIdLink9" w:history="1">
        <w:r>
          <w:rPr>
            <w:rStyle w:val="Hyperlink"/>
          </w:rPr>
          <w:t xml:space="preserve">doi.org/10.1016/S0140-6736(22)02585-5</w:t>
        </w:r>
      </w:hyperlink>
      <w:r>
        <w:t xml:space="preserve">.</w:t>
      </w:r>
    </w:p>
    <w:p w:rsidR="4FEEDEC4" w:rsidRDefault="28E59529">
      <w:r>
        <w:t xml:space="preserve">Sayers and Partners (2025) Spatial Indicators of Vulnerability to Climate-Related Hazards in the UK. London: Climate Change Committee.</w:t>
      </w:r>
    </w:p>
    <w:p w:rsidR="76598396" w:rsidRDefault="03168354">
      <w:r>
        <w:t xml:space="preserve">Southwark Council (2025) Hot Weather and Health: Southwark’s Joint Strategic Needs Assessment. London: London Borough of Southwark, Public Health Division.</w:t>
      </w:r>
    </w:p>
    <w:p w:rsidR="050706A0" w:rsidRDefault="42BFEBA1">
      <w:r>
        <w:t xml:space="preserve">Southwark Council (2026) Schools Climate Resilience and Extreme Heat Risk Assessment. Internal analysis. London: London Borough of Southwark.</w:t>
      </w:r>
    </w:p>
    <w:p w:rsidR="ED9182EB" w:rsidRDefault="E184BBB5"/>
    <w:sectPr w:rsidR="00740DF2" w:rsidRPr="00DE40AA" w:rsidSect="00F642C4">
      <w:headerReference w:type="default" r:id="rId18"/>
      <w:footerReference w:type="default" r:id="rId19"/>
      <w:headerReference w:type="first" r:id="rId20"/>
      <w:footerReference w:type="first" r:id="rId21"/>
      <w:type w:val="continuous"/>
      <w:pgSz w:w="11901" w:h="16817"/>
      <w:pgMar w:top="680" w:right="680" w:bottom="1701" w:left="680" w:header="624"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EA79" w14:textId="77777777" w:rsidR="00E53ACC" w:rsidRDefault="00E53ACC" w:rsidP="00E24FD3">
      <w:pPr>
        <w:spacing w:after="0"/>
      </w:pPr>
      <w:r>
        <w:separator/>
      </w:r>
    </w:p>
  </w:endnote>
  <w:endnote w:type="continuationSeparator" w:id="0">
    <w:p w14:paraId="41F82FDE" w14:textId="77777777" w:rsidR="00E53ACC" w:rsidRDefault="00E53ACC" w:rsidP="00E24F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Math"/>
    <w:panose1 w:val="00000000000000000000"/>
    <w:charset w:val="00"/>
    <w:family w:val="roman"/>
    <w:notTrueType/>
    <w:pitch w:val="variable"/>
    <w:sig w:usb0="00000001"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6984899"/>
      <w:docPartObj>
        <w:docPartGallery w:val="Page Numbers (Bottom of Page)"/>
        <w:docPartUnique/>
      </w:docPartObj>
    </w:sdtPr>
    <w:sdtEndPr>
      <w:rPr>
        <w:rStyle w:val="DefaultParagraphFont"/>
      </w:rPr>
    </w:sdtEndPr>
    <w:sdtContent>
      <w:p w14:paraId="7AE162FA" w14:textId="77777777" w:rsidR="00E24FD3" w:rsidRDefault="00E24FD3" w:rsidP="00EA7DC7">
        <w:pPr>
          <w:pStyle w:val="Footer"/>
          <w:framePr w:h="674" w:hRule="exact" w:wrap="none" w:vAnchor="text" w:hAnchor="page" w:x="10893" w:y="-63"/>
          <w:rPr>
            <w:rStyle w:val="PageNumber"/>
          </w:rPr>
        </w:pPr>
        <w:r>
          <w:rPr>
            <w:rStyle w:val="PageNumber"/>
          </w:rPr>
          <w:fldChar w:fldCharType="begin"/>
        </w:r>
        <w:r>
          <w:rPr>
            <w:rStyle w:val="PageNumber"/>
          </w:rPr>
          <w:instrText xml:space="preserve"> PAGE </w:instrText>
        </w:r>
        <w:r>
          <w:rPr>
            <w:rStyle w:val="PageNumber"/>
          </w:rPr>
          <w:fldChar w:fldCharType="separate"/>
        </w:r>
        <w:r w:rsidR="004512C6">
          <w:rPr>
            <w:rStyle w:val="PageNumber"/>
            <w:noProof/>
          </w:rPr>
          <w:t>2</w:t>
        </w:r>
        <w:r>
          <w:rPr>
            <w:rStyle w:val="PageNumber"/>
          </w:rPr>
          <w:fldChar w:fldCharType="end"/>
        </w:r>
      </w:p>
    </w:sdtContent>
  </w:sdt>
  <w:p w14:paraId="339F058F" w14:textId="77777777" w:rsidR="00E24FD3" w:rsidRDefault="00E24FD3">
    <w:pPr>
      <w:pStyle w:val="Footer"/>
    </w:pPr>
    <w:r>
      <w:rPr>
        <w:noProof/>
        <w:lang w:eastAsia="en-GB"/>
      </w:rPr>
      <w:drawing>
        <wp:anchor distT="0" distB="0" distL="114300" distR="114300" simplePos="0" relativeHeight="251663360" behindDoc="1" locked="1" layoutInCell="1" allowOverlap="1" wp14:anchorId="25B51052" wp14:editId="5FBDFA9A">
          <wp:simplePos x="0" y="0"/>
          <wp:positionH relativeFrom="page">
            <wp:align>left</wp:align>
          </wp:positionH>
          <wp:positionV relativeFrom="page">
            <wp:align>bottom</wp:align>
          </wp:positionV>
          <wp:extent cx="7559675" cy="114109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81199" name="Picture 220581199"/>
                  <pic:cNvPicPr/>
                </pic:nvPicPr>
                <pic:blipFill>
                  <a:blip r:embed="rId1">
                    <a:extLst>
                      <a:ext uri="{28A0092B-C50C-407E-A947-70E740481C1C}">
                        <a14:useLocalDpi xmlns:a14="http://schemas.microsoft.com/office/drawing/2010/main" val="0"/>
                      </a:ext>
                    </a:extLst>
                  </a:blip>
                  <a:stretch>
                    <a:fillRect/>
                  </a:stretch>
                </pic:blipFill>
                <pic:spPr>
                  <a:xfrm>
                    <a:off x="0" y="0"/>
                    <a:ext cx="7559675" cy="114109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2817517"/>
      <w:docPartObj>
        <w:docPartGallery w:val="Page Numbers (Bottom of Page)"/>
        <w:docPartUnique/>
      </w:docPartObj>
    </w:sdtPr>
    <w:sdtEndPr>
      <w:rPr>
        <w:rStyle w:val="DefaultParagraphFont"/>
      </w:rPr>
    </w:sdtEndPr>
    <w:sdtContent>
      <w:p w14:paraId="0948474A" w14:textId="77777777" w:rsidR="00E24FD3" w:rsidRDefault="00E24FD3" w:rsidP="00035F95">
        <w:pPr>
          <w:pStyle w:val="Footer"/>
          <w:framePr w:wrap="none" w:vAnchor="text" w:hAnchor="page" w:x="10859" w:y="-47"/>
          <w:rPr>
            <w:rStyle w:val="PageNumber"/>
          </w:rPr>
        </w:pPr>
        <w:r>
          <w:rPr>
            <w:rStyle w:val="PageNumber"/>
          </w:rPr>
          <w:fldChar w:fldCharType="begin"/>
        </w:r>
        <w:r>
          <w:rPr>
            <w:rStyle w:val="PageNumber"/>
          </w:rPr>
          <w:instrText xml:space="preserve"> PAGE </w:instrText>
        </w:r>
        <w:r>
          <w:rPr>
            <w:rStyle w:val="PageNumber"/>
          </w:rPr>
          <w:fldChar w:fldCharType="separate"/>
        </w:r>
        <w:r w:rsidR="004512C6">
          <w:rPr>
            <w:rStyle w:val="PageNumber"/>
            <w:noProof/>
          </w:rPr>
          <w:t>1</w:t>
        </w:r>
        <w:r>
          <w:rPr>
            <w:rStyle w:val="PageNumber"/>
          </w:rPr>
          <w:fldChar w:fldCharType="end"/>
        </w:r>
      </w:p>
    </w:sdtContent>
  </w:sdt>
  <w:p w14:paraId="34E3A565" w14:textId="77777777" w:rsidR="00E24FD3" w:rsidRDefault="00E24FD3" w:rsidP="00E24FD3">
    <w:pPr>
      <w:pStyle w:val="Footer"/>
      <w:ind w:right="360"/>
      <w:jc w:val="center"/>
    </w:pPr>
    <w:r>
      <w:rPr>
        <w:noProof/>
        <w:lang w:eastAsia="en-GB"/>
      </w:rPr>
      <w:drawing>
        <wp:anchor distT="0" distB="0" distL="114300" distR="114300" simplePos="0" relativeHeight="251661312" behindDoc="1" locked="1" layoutInCell="1" allowOverlap="1" wp14:anchorId="0C0F12EB" wp14:editId="6A51A1C8">
          <wp:simplePos x="0" y="0"/>
          <wp:positionH relativeFrom="margin">
            <wp:align>center</wp:align>
          </wp:positionH>
          <wp:positionV relativeFrom="bottomMargin">
            <wp:posOffset>-27305</wp:posOffset>
          </wp:positionV>
          <wp:extent cx="7595870" cy="10902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81199" name="Picture 220581199"/>
                  <pic:cNvPicPr/>
                </pic:nvPicPr>
                <pic:blipFill>
                  <a:blip r:embed="rId1">
                    <a:extLst>
                      <a:ext uri="{28A0092B-C50C-407E-A947-70E740481C1C}">
                        <a14:useLocalDpi xmlns:a14="http://schemas.microsoft.com/office/drawing/2010/main" val="0"/>
                      </a:ext>
                    </a:extLst>
                  </a:blip>
                  <a:stretch>
                    <a:fillRect/>
                  </a:stretch>
                </pic:blipFill>
                <pic:spPr>
                  <a:xfrm>
                    <a:off x="0" y="0"/>
                    <a:ext cx="7595870" cy="10902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7527" w14:textId="77777777" w:rsidR="00E53ACC" w:rsidRDefault="00E53ACC" w:rsidP="00E24FD3">
      <w:pPr>
        <w:spacing w:after="0"/>
      </w:pPr>
      <w:r>
        <w:separator/>
      </w:r>
    </w:p>
  </w:footnote>
  <w:footnote w:type="continuationSeparator" w:id="0">
    <w:p w14:paraId="6C8D5292" w14:textId="77777777" w:rsidR="00E53ACC" w:rsidRDefault="00E53ACC" w:rsidP="00E24F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4BA0" w14:textId="77777777" w:rsidR="00E805BA" w:rsidRDefault="00E805BA">
    <w:pPr>
      <w:pStyle w:val="Header"/>
    </w:pPr>
  </w:p>
  <w:p w14:paraId="44F731AF" w14:textId="77777777" w:rsidR="00E805BA" w:rsidRDefault="00E80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CF0E" w14:textId="77777777" w:rsidR="00E24FD3" w:rsidRDefault="00E24FD3">
    <w:pPr>
      <w:pStyle w:val="Header"/>
    </w:pPr>
    <w:r>
      <w:rPr>
        <w:noProof/>
        <w:lang w:eastAsia="en-GB"/>
      </w:rPr>
      <w:drawing>
        <wp:anchor distT="0" distB="0" distL="114300" distR="114300" simplePos="0" relativeHeight="251659264" behindDoc="1" locked="0" layoutInCell="1" allowOverlap="1" wp14:anchorId="4BD8524E" wp14:editId="117C9059">
          <wp:simplePos x="0" y="0"/>
          <wp:positionH relativeFrom="page">
            <wp:align>left</wp:align>
          </wp:positionH>
          <wp:positionV relativeFrom="paragraph">
            <wp:posOffset>-431800</wp:posOffset>
          </wp:positionV>
          <wp:extent cx="7560000" cy="213115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8029" name="Picture 102608029"/>
                  <pic:cNvPicPr/>
                </pic:nvPicPr>
                <pic:blipFill>
                  <a:blip r:embed="rId1">
                    <a:extLst>
                      <a:ext uri="{28A0092B-C50C-407E-A947-70E740481C1C}">
                        <a14:useLocalDpi xmlns:a14="http://schemas.microsoft.com/office/drawing/2010/main" val="0"/>
                      </a:ext>
                    </a:extLst>
                  </a:blip>
                  <a:stretch>
                    <a:fillRect/>
                  </a:stretch>
                </pic:blipFill>
                <pic:spPr>
                  <a:xfrm>
                    <a:off x="0" y="0"/>
                    <a:ext cx="7560000" cy="213115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454"/>
    <w:multiLevelType w:val="hybridMultilevel"/>
    <w:tmpl w:val="67E66DAE"/>
    <w:lvl w:ilvl="0" w:tplc="2586E956">
      <w:start w:val="1"/>
      <w:numFmt w:val="bullet"/>
      <w:pStyle w:val="Bulletstyle"/>
      <w:lvlText w:val=""/>
      <w:lvlJc w:val="left"/>
      <w:pPr>
        <w:ind w:left="947" w:hanging="360"/>
      </w:pPr>
      <w:rPr>
        <w:rFonts w:ascii="Symbol" w:hAnsi="Symbol" w:hint="default"/>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1" w15:restartNumberingAfterBreak="0">
    <w:nsid w:val="2BF503C3"/>
    <w:multiLevelType w:val="hybridMultilevel"/>
    <w:tmpl w:val="F5C4E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104B50"/>
    <w:multiLevelType w:val="hybridMultilevel"/>
    <w:tmpl w:val="1BFAA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1A639D"/>
    <w:multiLevelType w:val="hybridMultilevel"/>
    <w:tmpl w:val="A54CF7D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num w:numId="1" w16cid:durableId="1579561406">
    <w:abstractNumId w:val="2"/>
  </w:num>
  <w:num w:numId="2" w16cid:durableId="1443768250">
    <w:abstractNumId w:val="0"/>
  </w:num>
  <w:num w:numId="3" w16cid:durableId="1986466269">
    <w:abstractNumId w:val="3"/>
  </w:num>
  <w:num w:numId="4" w16cid:durableId="1169252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crypted_CloudStatistics_StoryID" w:val="V6/hu9afqlT2F94uwN0XG6tsWg/7cSDkcjoLAbVCALG3atSYi+aKcIGE2Dtruyqz"/>
  </w:docVars>
  <w:rsids>
    <w:rsidRoot w:val="00E24FD3"/>
    <w:rsid w:val="00022C52"/>
    <w:rsid w:val="00025AF8"/>
    <w:rsid w:val="00035F95"/>
    <w:rsid w:val="000F48C7"/>
    <w:rsid w:val="001422D9"/>
    <w:rsid w:val="00167704"/>
    <w:rsid w:val="001C1D89"/>
    <w:rsid w:val="00266809"/>
    <w:rsid w:val="00267EEF"/>
    <w:rsid w:val="002801D7"/>
    <w:rsid w:val="002C18A1"/>
    <w:rsid w:val="003476A4"/>
    <w:rsid w:val="003504BA"/>
    <w:rsid w:val="003B2A41"/>
    <w:rsid w:val="00421D7A"/>
    <w:rsid w:val="004329ED"/>
    <w:rsid w:val="0043667A"/>
    <w:rsid w:val="004512C6"/>
    <w:rsid w:val="00471B6A"/>
    <w:rsid w:val="0049688B"/>
    <w:rsid w:val="005C0C48"/>
    <w:rsid w:val="006A687D"/>
    <w:rsid w:val="006B0432"/>
    <w:rsid w:val="006E215C"/>
    <w:rsid w:val="007011D6"/>
    <w:rsid w:val="007103F4"/>
    <w:rsid w:val="00740DF2"/>
    <w:rsid w:val="00797626"/>
    <w:rsid w:val="00834E4F"/>
    <w:rsid w:val="00837BC6"/>
    <w:rsid w:val="00850076"/>
    <w:rsid w:val="008614E8"/>
    <w:rsid w:val="0088398B"/>
    <w:rsid w:val="00891718"/>
    <w:rsid w:val="008A1563"/>
    <w:rsid w:val="008B5508"/>
    <w:rsid w:val="008B575C"/>
    <w:rsid w:val="008C24E3"/>
    <w:rsid w:val="009035C6"/>
    <w:rsid w:val="00943D33"/>
    <w:rsid w:val="00B85681"/>
    <w:rsid w:val="00C172BE"/>
    <w:rsid w:val="00CE1713"/>
    <w:rsid w:val="00D66C71"/>
    <w:rsid w:val="00D81720"/>
    <w:rsid w:val="00DE40AA"/>
    <w:rsid w:val="00E0387E"/>
    <w:rsid w:val="00E10B7B"/>
    <w:rsid w:val="00E24FD3"/>
    <w:rsid w:val="00E53ACC"/>
    <w:rsid w:val="00E805BA"/>
    <w:rsid w:val="00EA7DC7"/>
    <w:rsid w:val="00ED545F"/>
    <w:rsid w:val="00F52365"/>
    <w:rsid w:val="00F642C4"/>
    <w:rsid w:val="00F7291A"/>
    <w:rsid w:val="00FE29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56C05"/>
  <w15:chartTrackingRefBased/>
  <w15:docId w15:val="{B5E080A0-76CB-F14B-BC12-7842E6FE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before="240"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4"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891718"/>
  </w:style>
  <w:style w:type="paragraph" w:styleId="Heading1">
    <w:name w:val="heading 1"/>
    <w:basedOn w:val="Normal"/>
    <w:next w:val="Normal"/>
    <w:link w:val="Heading1Char"/>
    <w:uiPriority w:val="1"/>
    <w:qFormat/>
    <w:rsid w:val="008B575C"/>
    <w:pPr>
      <w:keepNext/>
      <w:keepLines/>
      <w:outlineLvl w:val="0"/>
    </w:pPr>
    <w:rPr>
      <w:rFonts w:asciiTheme="majorHAnsi" w:eastAsiaTheme="majorEastAsia" w:hAnsiTheme="majorHAnsi" w:cstheme="majorBidi"/>
      <w:color w:val="44276E"/>
      <w:sz w:val="72"/>
      <w:szCs w:val="32"/>
    </w:rPr>
  </w:style>
  <w:style w:type="paragraph" w:styleId="Heading2">
    <w:name w:val="heading 2"/>
    <w:basedOn w:val="Normal"/>
    <w:next w:val="Normal"/>
    <w:link w:val="Heading2Char1"/>
    <w:autoRedefine/>
    <w:uiPriority w:val="1"/>
    <w:unhideWhenUsed/>
    <w:qFormat/>
    <w:rsid w:val="00ED545F"/>
    <w:pPr>
      <w:keepNext/>
      <w:keepLines/>
      <w:outlineLvl w:val="1"/>
    </w:pPr>
    <w:rPr>
      <w:rFonts w:ascii="Arial" w:eastAsiaTheme="majorEastAsia" w:hAnsi="Arial" w:cs="Arial"/>
      <w:color w:val="00873B"/>
      <w:sz w:val="48"/>
      <w:szCs w:val="26"/>
    </w:rPr>
  </w:style>
  <w:style w:type="paragraph" w:styleId="Heading3">
    <w:name w:val="heading 3"/>
    <w:basedOn w:val="Normal"/>
    <w:next w:val="Normal"/>
    <w:link w:val="Heading3Char"/>
    <w:autoRedefine/>
    <w:uiPriority w:val="1"/>
    <w:unhideWhenUsed/>
    <w:qFormat/>
    <w:rsid w:val="00891718"/>
    <w:pPr>
      <w:keepNext/>
      <w:keepLines/>
      <w:outlineLvl w:val="2"/>
    </w:pPr>
    <w:rPr>
      <w:rFonts w:asciiTheme="majorHAnsi" w:eastAsiaTheme="majorEastAsia" w:hAnsiTheme="majorHAnsi" w:cstheme="majorBidi"/>
      <w:b/>
      <w:sz w:val="36"/>
    </w:rPr>
  </w:style>
  <w:style w:type="paragraph" w:styleId="Heading4">
    <w:name w:val="heading 4"/>
    <w:basedOn w:val="Normal"/>
    <w:next w:val="Normal"/>
    <w:link w:val="Heading4Char"/>
    <w:uiPriority w:val="9"/>
    <w:unhideWhenUsed/>
    <w:qFormat/>
    <w:rsid w:val="00ED545F"/>
    <w:pPr>
      <w:keepNext/>
      <w:keepLines/>
      <w:spacing w:before="40" w:after="0"/>
      <w:outlineLvl w:val="3"/>
    </w:pPr>
    <w:rPr>
      <w:rFonts w:asciiTheme="majorHAnsi" w:eastAsiaTheme="majorEastAsia" w:hAnsiTheme="majorHAnsi" w:cstheme="majorBidi"/>
      <w:b/>
      <w:iCs/>
      <w:color w:val="44276E"/>
      <w:sz w:val="28"/>
    </w:rPr>
  </w:style>
  <w:style w:type="paragraph" w:styleId="Heading5">
    <w:name w:val="heading 5"/>
    <w:basedOn w:val="Normal"/>
    <w:next w:val="Normal"/>
    <w:link w:val="Heading5Char"/>
    <w:uiPriority w:val="9"/>
    <w:unhideWhenUsed/>
    <w:qFormat/>
    <w:rsid w:val="00F52365"/>
    <w:pPr>
      <w:keepNext/>
      <w:keepLines/>
      <w:spacing w:before="40" w:after="0"/>
      <w:outlineLvl w:val="4"/>
    </w:pPr>
    <w:rPr>
      <w:rFonts w:asciiTheme="majorHAnsi" w:eastAsiaTheme="majorEastAsia" w:hAnsiTheme="majorHAnsi"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B575C"/>
    <w:rPr>
      <w:rFonts w:asciiTheme="majorHAnsi" w:eastAsiaTheme="majorEastAsia" w:hAnsiTheme="majorHAnsi" w:cstheme="majorBidi"/>
      <w:color w:val="44276E"/>
      <w:sz w:val="72"/>
      <w:szCs w:val="32"/>
    </w:rPr>
  </w:style>
  <w:style w:type="character" w:customStyle="1" w:styleId="Heading2Char">
    <w:name w:val="Heading 2 Char"/>
    <w:basedOn w:val="DefaultParagraphFont"/>
    <w:uiPriority w:val="1"/>
    <w:rsid w:val="006A687D"/>
    <w:rPr>
      <w:rFonts w:ascii="Arial" w:eastAsiaTheme="majorEastAsia" w:hAnsi="Arial" w:cs="Arial"/>
      <w:color w:val="44546A" w:themeColor="text2"/>
      <w:sz w:val="48"/>
      <w:szCs w:val="26"/>
    </w:rPr>
  </w:style>
  <w:style w:type="character" w:customStyle="1" w:styleId="Heading3Char">
    <w:name w:val="Heading 3 Char"/>
    <w:basedOn w:val="DefaultParagraphFont"/>
    <w:link w:val="Heading3"/>
    <w:uiPriority w:val="1"/>
    <w:rsid w:val="00891718"/>
    <w:rPr>
      <w:rFonts w:asciiTheme="majorHAnsi" w:eastAsiaTheme="majorEastAsia" w:hAnsiTheme="majorHAnsi" w:cstheme="majorBidi"/>
      <w:b/>
      <w:sz w:val="36"/>
    </w:rPr>
  </w:style>
  <w:style w:type="paragraph" w:styleId="Header">
    <w:name w:val="header"/>
    <w:basedOn w:val="Normal"/>
    <w:link w:val="HeaderChar"/>
    <w:uiPriority w:val="99"/>
    <w:unhideWhenUsed/>
    <w:rsid w:val="00E24FD3"/>
    <w:pPr>
      <w:tabs>
        <w:tab w:val="center" w:pos="4513"/>
        <w:tab w:val="right" w:pos="9026"/>
      </w:tabs>
    </w:pPr>
  </w:style>
  <w:style w:type="character" w:customStyle="1" w:styleId="HeaderChar">
    <w:name w:val="Header Char"/>
    <w:basedOn w:val="DefaultParagraphFont"/>
    <w:link w:val="Header"/>
    <w:uiPriority w:val="99"/>
    <w:rsid w:val="00E24FD3"/>
  </w:style>
  <w:style w:type="paragraph" w:styleId="Footer">
    <w:name w:val="footer"/>
    <w:basedOn w:val="Normal"/>
    <w:link w:val="FooterChar"/>
    <w:uiPriority w:val="99"/>
    <w:unhideWhenUsed/>
    <w:rsid w:val="00E24FD3"/>
    <w:pPr>
      <w:tabs>
        <w:tab w:val="center" w:pos="4513"/>
        <w:tab w:val="right" w:pos="9026"/>
      </w:tabs>
    </w:pPr>
    <w:rPr>
      <w:color w:val="FFFFFF" w:themeColor="background1"/>
      <w:sz w:val="18"/>
    </w:rPr>
  </w:style>
  <w:style w:type="character" w:customStyle="1" w:styleId="FooterChar">
    <w:name w:val="Footer Char"/>
    <w:basedOn w:val="DefaultParagraphFont"/>
    <w:link w:val="Footer"/>
    <w:uiPriority w:val="99"/>
    <w:rsid w:val="00E24FD3"/>
    <w:rPr>
      <w:color w:val="FFFFFF" w:themeColor="background1"/>
      <w:sz w:val="18"/>
    </w:rPr>
  </w:style>
  <w:style w:type="character" w:styleId="PageNumber">
    <w:name w:val="page number"/>
    <w:basedOn w:val="DefaultParagraphFont"/>
    <w:uiPriority w:val="99"/>
    <w:semiHidden/>
    <w:unhideWhenUsed/>
    <w:rsid w:val="00E24FD3"/>
  </w:style>
  <w:style w:type="paragraph" w:customStyle="1" w:styleId="BasicParagraph">
    <w:name w:val="[Basic Paragraph]"/>
    <w:basedOn w:val="Normal"/>
    <w:link w:val="BasicParagraphChar"/>
    <w:uiPriority w:val="99"/>
    <w:rsid w:val="00C172BE"/>
    <w:pPr>
      <w:autoSpaceDE w:val="0"/>
      <w:autoSpaceDN w:val="0"/>
      <w:adjustRightInd w:val="0"/>
      <w:textAlignment w:val="center"/>
    </w:pPr>
    <w:rPr>
      <w:rFonts w:ascii="Minion Pro" w:hAnsi="Minion Pro" w:cs="Minion Pro"/>
      <w:color w:val="000000"/>
      <w:kern w:val="0"/>
    </w:rPr>
  </w:style>
  <w:style w:type="character" w:styleId="Hyperlink">
    <w:name w:val="Hyperlink"/>
    <w:basedOn w:val="DefaultParagraphFont"/>
    <w:uiPriority w:val="4"/>
    <w:qFormat/>
    <w:rsid w:val="006E215C"/>
    <w:rPr>
      <w:rFonts w:asciiTheme="minorHAnsi" w:hAnsiTheme="minorHAnsi"/>
      <w:color w:val="auto"/>
      <w:u w:val="single"/>
    </w:rPr>
  </w:style>
  <w:style w:type="paragraph" w:styleId="ListParagraph">
    <w:name w:val="List Paragraph"/>
    <w:basedOn w:val="Normal"/>
    <w:uiPriority w:val="34"/>
    <w:qFormat/>
    <w:rsid w:val="00C172BE"/>
    <w:pPr>
      <w:spacing w:line="300" w:lineRule="atLeast"/>
      <w:contextualSpacing/>
    </w:pPr>
  </w:style>
  <w:style w:type="character" w:customStyle="1" w:styleId="UnresolvedMention1">
    <w:name w:val="Unresolved Mention1"/>
    <w:basedOn w:val="DefaultParagraphFont"/>
    <w:uiPriority w:val="99"/>
    <w:semiHidden/>
    <w:unhideWhenUsed/>
    <w:rsid w:val="00C172BE"/>
    <w:rPr>
      <w:color w:val="605E5C"/>
      <w:shd w:val="clear" w:color="auto" w:fill="E1DFDD"/>
    </w:rPr>
  </w:style>
  <w:style w:type="paragraph" w:customStyle="1" w:styleId="Bulletstyle">
    <w:name w:val="Bullet style"/>
    <w:basedOn w:val="BasicParagraph"/>
    <w:link w:val="BulletstyleChar"/>
    <w:uiPriority w:val="4"/>
    <w:qFormat/>
    <w:rsid w:val="00F7291A"/>
    <w:pPr>
      <w:numPr>
        <w:numId w:val="2"/>
      </w:numPr>
      <w:suppressAutoHyphens/>
      <w:spacing w:before="120" w:after="120" w:line="240" w:lineRule="auto"/>
      <w:ind w:hanging="357"/>
    </w:pPr>
    <w:rPr>
      <w:rFonts w:ascii="Arial" w:hAnsi="Arial" w:cs="Arial"/>
    </w:rPr>
  </w:style>
  <w:style w:type="paragraph" w:styleId="NoSpacing">
    <w:name w:val="No Spacing"/>
    <w:uiPriority w:val="4"/>
    <w:unhideWhenUsed/>
    <w:rsid w:val="001C1D89"/>
    <w:pPr>
      <w:spacing w:before="0" w:after="0" w:line="240" w:lineRule="auto"/>
    </w:pPr>
  </w:style>
  <w:style w:type="character" w:customStyle="1" w:styleId="BasicParagraphChar">
    <w:name w:val="[Basic Paragraph] Char"/>
    <w:basedOn w:val="DefaultParagraphFont"/>
    <w:link w:val="BasicParagraph"/>
    <w:uiPriority w:val="99"/>
    <w:rsid w:val="00DE40AA"/>
    <w:rPr>
      <w:rFonts w:ascii="Minion Pro" w:hAnsi="Minion Pro" w:cs="Minion Pro"/>
      <w:color w:val="000000"/>
      <w:kern w:val="0"/>
    </w:rPr>
  </w:style>
  <w:style w:type="character" w:customStyle="1" w:styleId="BulletstyleChar">
    <w:name w:val="Bullet style Char"/>
    <w:basedOn w:val="BasicParagraphChar"/>
    <w:link w:val="Bulletstyle"/>
    <w:uiPriority w:val="4"/>
    <w:rsid w:val="00F7291A"/>
    <w:rPr>
      <w:rFonts w:ascii="Arial" w:hAnsi="Arial" w:cs="Arial"/>
      <w:color w:val="000000"/>
      <w:kern w:val="0"/>
    </w:rPr>
  </w:style>
  <w:style w:type="paragraph" w:styleId="BalloonText">
    <w:name w:val="Balloon Text"/>
    <w:basedOn w:val="Normal"/>
    <w:link w:val="BalloonTextChar"/>
    <w:uiPriority w:val="99"/>
    <w:semiHidden/>
    <w:unhideWhenUsed/>
    <w:rsid w:val="00E0387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87E"/>
    <w:rPr>
      <w:rFonts w:ascii="Segoe UI" w:hAnsi="Segoe UI" w:cs="Segoe UI"/>
      <w:sz w:val="18"/>
      <w:szCs w:val="18"/>
    </w:rPr>
  </w:style>
  <w:style w:type="character" w:customStyle="1" w:styleId="Heading4Char">
    <w:name w:val="Heading 4 Char"/>
    <w:basedOn w:val="DefaultParagraphFont"/>
    <w:link w:val="Heading4"/>
    <w:uiPriority w:val="9"/>
    <w:rsid w:val="00ED545F"/>
    <w:rPr>
      <w:rFonts w:asciiTheme="majorHAnsi" w:eastAsiaTheme="majorEastAsia" w:hAnsiTheme="majorHAnsi" w:cstheme="majorBidi"/>
      <w:b/>
      <w:iCs/>
      <w:color w:val="44276E"/>
      <w:sz w:val="28"/>
    </w:rPr>
  </w:style>
  <w:style w:type="character" w:customStyle="1" w:styleId="Heading2Char1">
    <w:name w:val="Heading 2 Char1"/>
    <w:basedOn w:val="DefaultParagraphFont"/>
    <w:link w:val="Heading2"/>
    <w:uiPriority w:val="1"/>
    <w:rsid w:val="00ED545F"/>
    <w:rPr>
      <w:rFonts w:ascii="Arial" w:eastAsiaTheme="majorEastAsia" w:hAnsi="Arial" w:cs="Arial"/>
      <w:color w:val="00873B"/>
      <w:sz w:val="48"/>
      <w:szCs w:val="26"/>
    </w:rPr>
  </w:style>
  <w:style w:type="character" w:customStyle="1" w:styleId="Heading5Char">
    <w:name w:val="Heading 5 Char"/>
    <w:basedOn w:val="DefaultParagraphFont"/>
    <w:link w:val="Heading5"/>
    <w:uiPriority w:val="9"/>
    <w:rsid w:val="00F52365"/>
    <w:rPr>
      <w:rFonts w:asciiTheme="majorHAnsi" w:eastAsiaTheme="majorEastAsia" w:hAnsiTheme="majorHAnsi" w:cstheme="majorBid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Img1" Type="http://schemas.openxmlformats.org/officeDocument/2006/relationships/image" Target="media/img_375b39b3.png"/><Relationship Id="rIdImg2" Type="http://schemas.openxmlformats.org/officeDocument/2006/relationships/image" Target="media/img_e6035b1d.png"/><Relationship Id="rIdImg3" Type="http://schemas.openxmlformats.org/officeDocument/2006/relationships/image" Target="media/img_8ae1bbcf.png"/><Relationship Id="rIdLink4" Type="http://schemas.openxmlformats.org/officeDocument/2006/relationships/hyperlink" Target="https://www.arup.com/en-us/insights/urban-heat-snapshot/" TargetMode="External"/><Relationship Id="rIdLink5" Type="http://schemas.openxmlformats.org/officeDocument/2006/relationships/hyperlink" Target="https://www.arup.com/en-us/insights/heat-risk-and-adaptation-in-the-urban-built-environment/" TargetMode="External"/><Relationship Id="rIdLink6" Type="http://schemas.openxmlformats.org/officeDocument/2006/relationships/hyperlink" Target="https://www.ukclimaterisk.org/wp-content/uploads/2026/05/C4-CCRA4-IA-TR-Built-Environment-XcZUaKfdnpIE.pdf" TargetMode="External"/><Relationship Id="rIdLink7" Type="http://schemas.openxmlformats.org/officeDocument/2006/relationships/hyperlink" Target="https://www.gov.uk/government/publications/impact-of-uk-climate-change-risk-on-the-delivery-of-education/summary-of-findings-in-relation-to-3-climate-risks-overheating-flooding-and-water-scarcity" TargetMode="External"/><Relationship Id="rIdLink8" Type="http://schemas.openxmlformats.org/officeDocument/2006/relationships/hyperlink" Target="https://www.london.gov.uk/sites/default/files/2024-01/24-01-16%20GLA%20Properties%20Vulnerable%20to%20Heat%20Impacts%20in%20London.pdf" TargetMode="External"/><Relationship Id="rIdLink9" Type="http://schemas.openxmlformats.org/officeDocument/2006/relationships/hyperlink" Target="https://doi.org/10.1016/S0140-6736%2822%2902585-5" TargetMode="External"/></Relationships>
</file>

<file path=word/_rels/footer1.xml.rels><?xml version="1.0" encoding="UTF-8"?><Relationships xmlns="http://schemas.openxmlformats.org/package/2006/relationships"><Relationship Id="rId1" Type="http://schemas.openxmlformats.org/officeDocument/2006/relationships/image" Target="media/image2.emf"/></Relationships>
</file>

<file path=word/_rels/footer2.xml.rels><?xml version="1.0" encoding="UTF-8"?><Relationships xmlns="http://schemas.openxmlformats.org/package/2006/relationships"><Relationship Id="rId1" Type="http://schemas.openxmlformats.org/officeDocument/2006/relationships/image" Target="media/image2.emf"/></Relationships>
</file>

<file path=word/_rels/header2.xml.rels><?xml version="1.0" encoding="UTF-8"?><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F3546-9520-463B-BB6C-F94C7EFD6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Southwark Council factsheet</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Southwark Council factsheet</dc:title>
  <dc:subject/>
  <dc:creator>Dittmar, Cole</dc:creator>
  <cp:keywords/>
  <dc:description/>
  <cp:lastModifiedBy>Dittmar, Cole</cp:lastModifiedBy>
  <cp:revision>2</cp:revision>
  <cp:lastPrinted>2024-01-02T12:22:00Z</cp:lastPrinted>
  <dcterms:created xsi:type="dcterms:W3CDTF">2026-06-09T09:29:00Z</dcterms:created>
  <dcterms:modified xsi:type="dcterms:W3CDTF">2026-06-09T09:29:00Z</dcterms:modified>
</cp:coreProperties>
</file>