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0"/>
          <w:szCs w:val="30"/>
        </w:rPr>
        <w:t xml:space="preserve">Business Insights and Recommendations Report</w:t>
      </w:r>
    </w:p>
    <w:p>
      <w:pPr>
        <w:spacing w:after="40"/>
        <w:jc w:val="center"/>
      </w:pPr>
      <w:r>
        <w:rPr>
          <w:i/>
          <w:iCs/>
          <w:sz w:val="22"/>
          <w:szCs w:val="22"/>
        </w:rPr>
        <w:t xml:space="preserve">Loan Prediction – Dream Housing Finance</w:t>
      </w:r>
    </w:p>
    <w:p>
      <w:pPr>
        <w:spacing w:after="300"/>
        <w:jc w:val="center"/>
      </w:pPr>
      <w:r>
        <w:rPr>
          <w:sz w:val="20"/>
          <w:szCs w:val="20"/>
        </w:rPr>
        <w:t xml:space="preserve">AnalystLab Africa – Data Science Internship Programme, Week 3</w:t>
      </w:r>
    </w:p>
    <w:p>
      <w:pPr>
        <w:spacing w:after="120" w:before="300"/>
      </w:pPr>
      <w:r>
        <w:rPr>
          <w:b/>
          <w:bCs/>
          <w:color w:val="000000"/>
          <w:sz w:val="26"/>
          <w:szCs w:val="26"/>
        </w:rPr>
        <w:t xml:space="preserve">Executive Summary</w:t>
      </w:r>
    </w:p>
    <w:p>
      <w:pPr>
        <w:spacing w:after="200"/>
        <w:jc w:val="both"/>
      </w:pPr>
      <w:r>
        <w:rPr>
          <w:color w:val="000000"/>
          <w:sz w:val="22"/>
          <w:szCs w:val="22"/>
        </w:rPr>
        <w:t xml:space="preserve">Dream Housing Finance currently reviews loan applications manually, weighing income, credit history, and other applicant details to decide on approval. This analysis set out to identify, with statistical evidence rather than assumption, which factors actually drive that decision using a sample of 614 past applications. The clearest result: credit history overwhelmingly dominates the approval outcome, while income and requested loan amount — the two variables that intuitively feel most relevant to a loan decision — show no statistically significant standalone effect. Four new features were engineered to better capture affordability, and one of them, an engineered credit risk category, turned out to separate approved from rejected applicants almost as well as credit history itself.</w:t>
      </w:r>
    </w:p>
    <w:p>
      <w:pPr>
        <w:spacing w:after="200"/>
        <w:jc w:val="both"/>
      </w:pPr>
      <w:r>
        <w:rPr>
          <w:color w:val="000000"/>
          <w:sz w:val="22"/>
          <w:szCs w:val="22"/>
        </w:rPr>
        <w:t xml:space="preserve">This report builds directly on the Week 1 exploration and Week 2 cleaning work. Where Week 2 focused on getting the dataset usable, this stage focused on testing whether the patterns that looked meaningful in charts actually held up statistically, and on engineering a small number of features that better represent an applicant's real capacity to repay.</w:t>
      </w:r>
    </w:p>
    <w:p>
      <w:pPr>
        <w:spacing w:after="120" w:before="300"/>
      </w:pPr>
      <w:r>
        <w:rPr>
          <w:b/>
          <w:bCs/>
          <w:color w:val="000000"/>
          <w:sz w:val="26"/>
          <w:szCs w:val="26"/>
        </w:rPr>
        <w:t xml:space="preserve">Analytical Approach</w:t>
      </w:r>
    </w:p>
    <w:p>
      <w:pPr>
        <w:spacing w:after="200"/>
        <w:jc w:val="both"/>
      </w:pPr>
      <w:r>
        <w:rPr>
          <w:color w:val="000000"/>
          <w:sz w:val="22"/>
          <w:szCs w:val="22"/>
        </w:rPr>
        <w:t xml:space="preserve">The Week 2 cleaned dataset (614 applications, no missing values, no duplicates) was carried forward without repeating the cleaning process. Advanced exploratory analysis covered numerical distributions, categorical frequencies, bivariate relationships, and multivariate patterns. Five statistical tests were then applied to check which of the visually apparent relationships were statistically significant, using a 0.05 significance threshold throughout. Four new features were engineered based on the exploratory and statistical findings, and every feature — original and engineered — was evaluated before being kept or dropped from the final dataset.</w:t>
      </w:r>
    </w:p>
    <w:p>
      <w:pPr>
        <w:spacing w:after="120" w:before="300"/>
      </w:pPr>
      <w:r>
        <w:rPr>
          <w:b/>
          <w:bCs/>
          <w:color w:val="000000"/>
          <w:sz w:val="26"/>
          <w:szCs w:val="26"/>
        </w:rPr>
        <w:t xml:space="preserve">Key Analytical Findings</w:t>
      </w:r>
    </w:p>
    <w:p>
      <w:pPr>
        <w:pStyle w:val="ListParagraph"/>
        <w:numPr>
          <w:ilvl w:val="0"/>
          <w:numId w:val="1"/>
        </w:numPr>
        <w:spacing w:after="100"/>
      </w:pPr>
      <w:r>
        <w:rPr>
          <w:color w:val="000000"/>
          <w:sz w:val="22"/>
          <w:szCs w:val="22"/>
        </w:rPr>
        <w:t xml:space="preserve">Credit_History is statistically confirmed as the dominant driver of approval (Chi-Square test, p &lt; 0.001) — almost every approved applicant has a clean credit history, and almost every applicant without one is rejected.</w:t>
      </w:r>
    </w:p>
    <w:p>
      <w:pPr>
        <w:pStyle w:val="ListParagraph"/>
        <w:numPr>
          <w:ilvl w:val="0"/>
          <w:numId w:val="1"/>
        </w:numPr>
        <w:spacing w:after="100"/>
      </w:pPr>
      <w:r>
        <w:rPr>
          <w:color w:val="000000"/>
          <w:sz w:val="22"/>
          <w:szCs w:val="22"/>
        </w:rPr>
        <w:t xml:space="preserve">Property_Area is also statistically associated with approval (p &lt; 0.05); Semiurban applicants are approved more often than Urban or Rural applicants.</w:t>
      </w:r>
    </w:p>
    <w:p>
      <w:pPr>
        <w:pStyle w:val="ListParagraph"/>
        <w:numPr>
          <w:ilvl w:val="0"/>
          <w:numId w:val="1"/>
        </w:numPr>
        <w:spacing w:after="100"/>
      </w:pPr>
      <w:r>
        <w:rPr>
          <w:color w:val="000000"/>
          <w:sz w:val="22"/>
          <w:szCs w:val="22"/>
        </w:rPr>
        <w:t xml:space="preserve">Total income and requested loan amount each show no statistically significant difference between approved and rejected applicants when tested individually.</w:t>
      </w:r>
    </w:p>
    <w:p>
      <w:pPr>
        <w:pStyle w:val="ListParagraph"/>
        <w:numPr>
          <w:ilvl w:val="0"/>
          <w:numId w:val="1"/>
        </w:numPr>
        <w:spacing w:after="100"/>
      </w:pPr>
      <w:r>
        <w:rPr>
          <w:color w:val="000000"/>
          <w:sz w:val="22"/>
          <w:szCs w:val="22"/>
        </w:rPr>
        <w:t xml:space="preserve">The engineered Credit_Risk_Category, combining credit history with a debt-to-income ratio, visually separates approved from rejected applicants more clearly than any feature except raw credit history.</w:t>
      </w:r>
    </w:p>
    <w:p>
      <w:pPr>
        <w:pStyle w:val="ListParagraph"/>
        <w:numPr>
          <w:ilvl w:val="0"/>
          <w:numId w:val="1"/>
        </w:numPr>
        <w:spacing w:after="100"/>
      </w:pPr>
      <w:r>
        <w:rPr>
          <w:color w:val="000000"/>
          <w:sz w:val="22"/>
          <w:szCs w:val="22"/>
        </w:rPr>
        <w:t xml:space="preserve">Applicant_Income and Coapplicant_Income were dropped as redundant with the engineered TotalIncome; Loan_Amount_Term was dropped for being almost constant across the dataset.</w:t>
      </w:r>
    </w:p>
    <w:p>
      <w:pPr>
        <w:pStyle w:val="ListParagraph"/>
        <w:numPr>
          <w:ilvl w:val="0"/>
          <w:numId w:val="1"/>
        </w:numPr>
        <w:spacing w:after="100"/>
      </w:pPr>
      <w:r>
        <w:rPr>
          <w:color w:val="000000"/>
          <w:sz w:val="22"/>
          <w:szCs w:val="22"/>
        </w:rPr>
        <w:t xml:space="preserve">Married applicants appear to be approved somewhat more often than unmarried applicants in the exploratory charts, though this specific relationship was not one of the five formally tested this week and should be verified statistically before being treated as confirmed.</w:t>
      </w:r>
    </w:p>
    <w:p>
      <w:pPr>
        <w:pStyle w:val="ListParagraph"/>
        <w:numPr>
          <w:ilvl w:val="0"/>
          <w:numId w:val="1"/>
        </w:numPr>
        <w:spacing w:after="100"/>
      </w:pPr>
      <w:r>
        <w:rPr>
          <w:color w:val="000000"/>
          <w:sz w:val="22"/>
          <w:szCs w:val="22"/>
        </w:rPr>
        <w:t xml:space="preserve">The correlation heatmap confirmed no unexpected multicollinearity among the retained features beyond the already-addressed income redundancy, and no data leakage risk was identified in the final feature set.</w:t>
      </w:r>
    </w:p>
    <w:p>
      <w:pPr>
        <w:spacing w:after="120" w:before="300"/>
      </w:pPr>
      <w:r>
        <w:rPr>
          <w:b/>
          <w:bCs/>
          <w:color w:val="000000"/>
          <w:sz w:val="26"/>
          <w:szCs w:val="26"/>
        </w:rPr>
        <w:t xml:space="preserve">Business Implications</w:t>
      </w:r>
    </w:p>
    <w:p>
      <w:pPr>
        <w:spacing w:after="200"/>
        <w:jc w:val="both"/>
      </w:pPr>
      <w:r>
        <w:rPr>
          <w:color w:val="000000"/>
          <w:sz w:val="22"/>
          <w:szCs w:val="22"/>
        </w:rPr>
        <w:t xml:space="preserve">The practical implication is that Dream Housing Finance's current process may already be implicitly weighting credit history heavily, whether or not that's an explicit policy — the data strongly supports that this is, in fact, the right emphasis. It also suggests that income-based rules of thumb (rejecting applicants below a certain income, for instance) may not be as justified by the historical data as they might feel intuitively. The property area effect is worth more scrutiny: if Semiurban applicants are approved more often for reasons unrelated to actual repayment risk, that pattern could either represent a missed opportunity in Urban/Rural markets or, if used naively in a future model, a fairness issue worth flagging to a compliance function before deployment.</w:t>
      </w:r>
    </w:p>
    <w:p>
      <w:pPr>
        <w:spacing w:after="200"/>
        <w:jc w:val="both"/>
      </w:pPr>
      <w:r>
        <w:rPr>
          <w:color w:val="000000"/>
          <w:sz w:val="22"/>
          <w:szCs w:val="22"/>
        </w:rPr>
        <w:t xml:space="preserve">There's also a softer implication worth naming: several of the engineered features (Debt_to_Income_Ratio and Balance_Income in particular) point toward affordability being a more nuanced concept than either income or loan amount alone. If Dream Housing Finance wanted to make its manual review process more consistent without waiting for a full predictive model, adopting something like the engineered Credit_Risk_Category as a standard checkpoint in the existing workflow could be a low-effort way to apply this analysis immediately.</w:t>
      </w:r>
    </w:p>
    <w:p>
      <w:pPr>
        <w:spacing w:after="120" w:before="300"/>
      </w:pPr>
      <w:r>
        <w:rPr>
          <w:b/>
          <w:bCs/>
          <w:color w:val="000000"/>
          <w:sz w:val="26"/>
          <w:szCs w:val="26"/>
        </w:rPr>
        <w:t xml:space="preserve">Recommendations</w:t>
      </w:r>
    </w:p>
    <w:p>
      <w:pPr>
        <w:pStyle w:val="ListParagraph"/>
        <w:numPr>
          <w:ilvl w:val="0"/>
          <w:numId w:val="1"/>
        </w:numPr>
        <w:spacing w:after="100"/>
      </w:pPr>
      <w:r>
        <w:rPr>
          <w:color w:val="000000"/>
          <w:sz w:val="22"/>
          <w:szCs w:val="22"/>
        </w:rPr>
        <w:t xml:space="preserve">Continue treating credit history as a near-mandatory screening criterion, since it's the best-supported predictor in the data.</w:t>
      </w:r>
    </w:p>
    <w:p>
      <w:pPr>
        <w:pStyle w:val="ListParagraph"/>
        <w:numPr>
          <w:ilvl w:val="0"/>
          <w:numId w:val="1"/>
        </w:numPr>
        <w:spacing w:after="100"/>
      </w:pPr>
      <w:r>
        <w:rPr>
          <w:color w:val="000000"/>
          <w:sz w:val="22"/>
          <w:szCs w:val="22"/>
        </w:rPr>
        <w:t xml:space="preserve">Investigate why Semiurban applicants are approved more often before using Property_Area directly in any automated decision system — confirm whether the pattern reflects genuine risk differences or an indirect proxy for something else.</w:t>
      </w:r>
    </w:p>
    <w:p>
      <w:pPr>
        <w:pStyle w:val="ListParagraph"/>
        <w:numPr>
          <w:ilvl w:val="0"/>
          <w:numId w:val="1"/>
        </w:numPr>
        <w:spacing w:after="100"/>
      </w:pPr>
      <w:r>
        <w:rPr>
          <w:color w:val="000000"/>
          <w:sz w:val="22"/>
          <w:szCs w:val="22"/>
        </w:rPr>
        <w:t xml:space="preserve">Consider collecting a more direct measure of existing debt obligations, since the engineered Debt_to_Income_Ratio here is a reasonable but imperfect proxy based on an assumed loan term.</w:t>
      </w:r>
    </w:p>
    <w:p>
      <w:pPr>
        <w:pStyle w:val="ListParagraph"/>
        <w:numPr>
          <w:ilvl w:val="0"/>
          <w:numId w:val="1"/>
        </w:numPr>
        <w:spacing w:after="100"/>
      </w:pPr>
      <w:r>
        <w:rPr>
          <w:color w:val="000000"/>
          <w:sz w:val="22"/>
          <w:szCs w:val="22"/>
        </w:rPr>
        <w:t xml:space="preserve">Carry the engineered Credit_Risk_Category and Balance_Income features into Week 4 modelling — both showed a meaningfully closer relationship with approval than the raw income or loan amount variables.</w:t>
      </w:r>
    </w:p>
    <w:p>
      <w:pPr>
        <w:pStyle w:val="ListParagraph"/>
        <w:numPr>
          <w:ilvl w:val="0"/>
          <w:numId w:val="1"/>
        </w:numPr>
        <w:spacing w:after="100"/>
      </w:pPr>
      <w:r>
        <w:rPr>
          <w:color w:val="000000"/>
          <w:sz w:val="22"/>
          <w:szCs w:val="22"/>
        </w:rPr>
        <w:t xml:space="preserve">Verify the Married-approval pattern statistically before relying on it, and consider testing whether it interacts with Credit_History rather than acting independently.</w:t>
      </w:r>
    </w:p>
    <w:p>
      <w:pPr>
        <w:pStyle w:val="ListParagraph"/>
        <w:numPr>
          <w:ilvl w:val="0"/>
          <w:numId w:val="1"/>
        </w:numPr>
        <w:spacing w:after="100"/>
      </w:pPr>
      <w:r>
        <w:rPr>
          <w:color w:val="000000"/>
          <w:sz w:val="22"/>
          <w:szCs w:val="22"/>
        </w:rPr>
        <w:t xml:space="preserve">Track approval outcomes by property area over time as new data comes in, to distinguish a stable structural pattern from a temporary artefact of this particular sample.</w:t>
      </w:r>
    </w:p>
    <w:p>
      <w:pPr>
        <w:spacing w:after="120" w:before="300"/>
      </w:pPr>
      <w:r>
        <w:rPr>
          <w:b/>
          <w:bCs/>
          <w:color w:val="000000"/>
          <w:sz w:val="26"/>
          <w:szCs w:val="26"/>
        </w:rPr>
        <w:t xml:space="preserve">Dataset Limitations</w:t>
      </w:r>
    </w:p>
    <w:p>
      <w:pPr>
        <w:spacing w:after="200"/>
        <w:jc w:val="both"/>
      </w:pPr>
      <w:r>
        <w:rPr>
          <w:color w:val="000000"/>
          <w:sz w:val="22"/>
          <w:szCs w:val="22"/>
        </w:rPr>
        <w:t xml:space="preserve">614 applications is a workable but modest sample, and the approval class is imbalanced (about 69% approved versus 31% rejected), which should be reflected in how any future model is evaluated — plain accuracy would be a misleading metric on its own. Some engineered features (Debt_to_Income_Ratio, Balance_Income) rely on the assumption of a single, fixed monthly installment based on Loan_Amount_Term, which is a simplification of real repayment schedules and may understate risk for applicants with irregular repayment arrangements.</w:t>
      </w:r>
    </w:p>
    <w:p>
      <w:pPr>
        <w:spacing w:after="200"/>
        <w:jc w:val="both"/>
      </w:pPr>
      <w:r>
        <w:rPr>
          <w:color w:val="000000"/>
          <w:sz w:val="22"/>
          <w:szCs w:val="22"/>
        </w:rPr>
        <w:t xml:space="preserve">This is also a well-known public practice dataset rather than Dream Housing Finance's actual historical records, so patterns like the property area effect should be treated as hypotheses worth validating against real company data, not settled conclusions. Finally, the dataset provides no information on the reasons behind past manual approval decisions, so it isn't possible to fully separate genuine risk-based factors from historical reviewer bias that may already be baked into which applications were approved.</w:t>
      </w:r>
    </w:p>
    <w:p>
      <w:pPr>
        <w:spacing w:after="120" w:before="300"/>
      </w:pPr>
      <w:r>
        <w:rPr>
          <w:b/>
          <w:bCs/>
          <w:color w:val="000000"/>
          <w:sz w:val="26"/>
          <w:szCs w:val="26"/>
        </w:rPr>
        <w:t xml:space="preserve">Next Steps</w:t>
      </w:r>
    </w:p>
    <w:p>
      <w:pPr>
        <w:spacing w:after="200"/>
        <w:jc w:val="both"/>
      </w:pPr>
      <w:r>
        <w:rPr>
          <w:color w:val="000000"/>
          <w:sz w:val="22"/>
          <w:szCs w:val="22"/>
        </w:rPr>
        <w:t xml:space="preserve">The refined dataset (loan_ml_ready_w3.csv — 614 rows, 16 columns, fully numeric, no missing values) is ready for Week 4 model development. A logistic regression model is a reasonable starting point given how dominant Credit_History is, since its coefficients are easy to explain to a non-technical audience. A tree-based model such as Random Forest would be worth testing afterward to check for interactions the linear model might miss — for example, whether Debt_to_Income_Ratio matters more specifically for applicants with a borderline credit history rather than uniformly across the dataset.</w:t>
      </w:r>
    </w:p>
    <w:p>
      <w:pPr>
        <w:spacing w:after="200"/>
        <w:jc w:val="both"/>
      </w:pPr>
      <w:r>
        <w:rPr>
          <w:color w:val="000000"/>
          <w:sz w:val="22"/>
          <w:szCs w:val="22"/>
        </w:rPr>
        <w:t xml:space="preserve">Beyond model choice, Week 4 should also settle on an evaluation approach that accounts for the class imbalance noted above — precision, recall, and a confusion matrix will likely tell a more honest story than accuracy alone, particularly since the cost of wrongly approving a high-risk applicant is probably not the same, from the business's perspective, as the cost of wrongly rejecting a safe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2026-08-29T02:34:07.411Z</dcterms:created>
  <dcterms:modified xsi:type="dcterms:W3CDTF">2026-08-29T02:34:07.412Z</dcterms:modified>
</cp:coreProperties>
</file>

<file path=docProps/custom.xml><?xml version="1.0" encoding="utf-8"?>
<Properties xmlns="http://schemas.openxmlformats.org/officeDocument/2006/custom-properties" xmlns:vt="http://schemas.openxmlformats.org/officeDocument/2006/docPropsVTypes"/>
</file>