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Data Dictionary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Loan Prediction – Dream Housing Finance</w:t>
      </w:r>
    </w:p>
    <w:p>
      <w:pPr>
        <w:spacing w:after="200"/>
        <w:jc w:val="center"/>
      </w:pPr>
      <w:r>
        <w:rPr>
          <w:sz w:val="20"/>
          <w:szCs w:val="20"/>
        </w:rPr>
        <w:t xml:space="preserve">AnalystLab Africa – Data Science Internship Programme, Week 3 (Updated)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Describes every column in the final Week 3 modelling dataset (loan_ml_ready_w3.csv) — 614 rows, 16 columns, no missing values, no duplicate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4%"/>
            <w:shd w:fill="E8E8E8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pct" w:w="18%"/>
            <w:shd w:fill="E8E8E8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58%"/>
            <w:shd w:fill="E8E8E8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Applicant's gender.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applicant is married.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dependents (3+ treated as 3).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or Not Graduate.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Self_Employed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applicant is self-employed.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Loan_Amount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 loan amount (outliers capped via IQR in Week 2).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Credit_History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(0/1)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credit history meets guidelines. Strongest predictor of approval.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Loan_Status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(encoded, target)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variable — 1 if approved, 0 if not.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TotalIncome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Applicant_Income + Coapplicant_Income (Week 2).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Debt_to_Income_Ratio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(Week 3): Loan_Amount relative to TotalIncome.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Family_Size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(Week 3): Dependents + applicant + spouse if married.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Balance_Income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(scaled)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(Week 3): estimated monthly income left after estimated loan installment.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Property_Area_Semiurban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if Property_Area is Semiurban (Rural is the reference category).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Property_Area_Urban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if Property_Area is Urban (Rural is the reference category).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Credit_Risk_Category_Low Risk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(Week 3) risk label. High Risk is the reference category.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Credit_Risk_Category_Medium Risk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(one-hot)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(Week 3) risk label. High Risk is the reference category.</w:t>
            </w:r>
          </w:p>
        </w:tc>
      </w:tr>
    </w:tbl>
    <w:p>
      <w:pPr>
        <w:spacing w:before="200"/>
      </w:pPr>
    </w:p>
    <w:p>
      <w:pPr>
        <w:jc w:val="both"/>
      </w:pPr>
      <w:r>
        <w:rPr>
          <w:i/>
          <w:iCs/>
          <w:color w:val="000000"/>
          <w:sz w:val="20"/>
          <w:szCs w:val="20"/>
        </w:rPr>
        <w:t xml:space="preserve">Note: Applicant_Income, Coapplicant_Income, and Loan_Amount_Term were removed during Week 3 feature evaluation (see the Feature Evaluation and Selection Summary). Income_Band and EMI, considered during Week 3 feature engineering, were not carried into the final dataset — EMI was found redundant with Balance_Income and Loan_Amount, and Income_Band added no separation beyond what Debt_to_Income_Ratio already captured.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2026-08-29T02:32:54.963Z</dcterms:created>
  <dcterms:modified xsi:type="dcterms:W3CDTF">2026-08-29T02:32:54.963Z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