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Week 6 Project Summary</w:t>
      </w:r>
    </w:p>
    <w:p>
      <w:pPr>
        <w:spacing w:after="80"/>
      </w:pPr>
      <w:r>
        <w:rPr>
          <w:i/>
          <w:iCs/>
          <w:sz w:val="24"/>
          <w:szCs w:val="24"/>
        </w:rPr>
        <w:t xml:space="preserve">HealthConnect Clinic – Data Science Track</w:t>
      </w:r>
    </w:p>
    <w:p>
      <w:pPr>
        <w:spacing w:after="240"/>
      </w:pPr>
      <w:r>
        <w:rPr>
          <w:sz w:val="22"/>
          <w:szCs w:val="22"/>
        </w:rPr>
        <w:t xml:space="preserve">AnalystLab Africa Experience Lab, Week 6</w:t>
      </w:r>
    </w:p>
    <w:p>
      <w:pPr>
        <w:spacing w:after="100" w:before="120"/>
      </w:pPr>
      <w:r>
        <w:rPr>
          <w:b/>
          <w:bCs/>
          <w:sz w:val="22"/>
          <w:szCs w:val="22"/>
        </w:rPr>
        <w:t xml:space="preserve">Planned for Week 6</w:t>
      </w:r>
    </w:p>
    <w:p>
      <w:pPr>
        <w:spacing w:after="240"/>
      </w:pPr>
      <w:r>
        <w:rPr>
          <w:sz w:val="22"/>
          <w:szCs w:val="22"/>
        </w:rPr>
        <w:t xml:space="preserve">Diagnose the weaknesses of the Week 5 baseline model through error analysis, refine features based on those findings, develop and compare at least one improved modelling approach, and complete a meaningful cross-track integration with the Data Analytics track.</w:t>
      </w:r>
    </w:p>
    <w:p>
      <w:pPr>
        <w:spacing w:after="100" w:before="120"/>
      </w:pPr>
      <w:r>
        <w:rPr>
          <w:b/>
          <w:bCs/>
          <w:sz w:val="22"/>
          <w:szCs w:val="22"/>
        </w:rPr>
        <w:t xml:space="preserve">What Was Actually Completed</w:t>
      </w:r>
    </w:p>
    <w:p>
      <w:pPr>
        <w:spacing w:after="240"/>
      </w:pPr>
      <w:r>
        <w:rPr>
          <w:sz w:val="22"/>
          <w:szCs w:val="22"/>
        </w:rPr>
        <w:t xml:space="preserve">The Week 5 baseline was reproduced and verified. A full error analysis was carried out on the confusion matrix, profiling false positives and false negatives against existing features. One new interaction feature (booking_lead_days × prev_noshow_rate) was engineered based on that analysis. Three candidate models — logistic regression with the new feature, Random Forest, and Gradient Boosting — were trained and compared against the baseline on the same patient-grouped split. Feature importance was analysed for the best-performing candidate. Contact was made with the Data Analytics track to request complementary insights.</w:t>
      </w:r>
    </w:p>
    <w:p>
      <w:pPr>
        <w:spacing w:after="100" w:before="120"/>
      </w:pPr>
      <w:r>
        <w:rPr>
          <w:b/>
          <w:bCs/>
          <w:sz w:val="22"/>
          <w:szCs w:val="22"/>
        </w:rPr>
        <w:t xml:space="preserve">Improvement Over Week 5</w:t>
      </w:r>
    </w:p>
    <w:p>
      <w:pPr>
        <w:spacing w:after="240"/>
      </w:pPr>
      <w:r>
        <w:rPr>
          <w:sz w:val="22"/>
          <w:szCs w:val="22"/>
        </w:rPr>
        <w:t xml:space="preserve">The Week 5 baseline relied almost entirely on booking_lead_days, with a clear blind spot on no-shows booked with a short or medium lead time (166 false negatives out of 966 test cases). The new interaction feature and the move to a Random Forest model captured the relationship between lead time and prior no-show history more effectively, raising ROC-AUC from 0.677 to 0.687 — a real but modest improvement.</w:t>
      </w:r>
    </w:p>
    <w:p>
      <w:pPr>
        <w:spacing w:after="100" w:before="120"/>
      </w:pPr>
      <w:r>
        <w:rPr>
          <w:b/>
          <w:bCs/>
          <w:sz w:val="22"/>
          <w:szCs w:val="22"/>
        </w:rPr>
        <w:t xml:space="preserve">Key Findings</w:t>
      </w:r>
    </w:p>
    <w:p>
      <w:pPr>
        <w:spacing w:after="240"/>
      </w:pPr>
      <w:r>
        <w:rPr>
          <w:sz w:val="22"/>
          <w:szCs w:val="22"/>
        </w:rPr>
        <w:t xml:space="preserve">Correctly-detected no-shows had an average booking lead time of about 44 days, versus only 19 days for missed no-shows, confirming the baseline's over-reliance on lead time as a near-threshold. has_history barely distinguished the two groups, while prev_noshow_rate contributed a smaller but real signal. In the improved model, booking_lead_days and the new interaction feature remained the strongest predictors, and distance_to_clinic_km emerged unexpectedly as a notable factor not explored in Week 5.</w:t>
      </w:r>
    </w:p>
    <w:p>
      <w:pPr>
        <w:spacing w:after="100" w:before="120"/>
      </w:pPr>
      <w:r>
        <w:rPr>
          <w:b/>
          <w:bCs/>
          <w:sz w:val="22"/>
          <w:szCs w:val="22"/>
        </w:rPr>
        <w:t xml:space="preserve">Major Challenges Encountered</w:t>
      </w:r>
    </w:p>
    <w:p>
      <w:pPr>
        <w:spacing w:after="240"/>
      </w:pPr>
      <w:r>
        <w:rPr>
          <w:sz w:val="22"/>
          <w:szCs w:val="22"/>
        </w:rPr>
        <w:t xml:space="preserve">The available features appear to cap model performance around 0.68-0.69 ROC-AUC regardless of algorithm choice, suggesting further gains will require new information rather than a different model alone. Response from the Data Analytics track was still pending at the time of writing, delaying completion of the cross-track integration evidence.</w:t>
      </w:r>
    </w:p>
    <w:p>
      <w:pPr>
        <w:spacing w:after="100" w:before="120"/>
      </w:pPr>
      <w:r>
        <w:rPr>
          <w:b/>
          <w:bCs/>
          <w:sz w:val="22"/>
          <w:szCs w:val="22"/>
        </w:rPr>
        <w:t xml:space="preserve">Important Decisions Made</w:t>
      </w:r>
    </w:p>
    <w:p>
      <w:pPr>
        <w:spacing w:after="240"/>
      </w:pPr>
      <w:r>
        <w:rPr>
          <w:sz w:val="22"/>
          <w:szCs w:val="22"/>
        </w:rPr>
        <w:t xml:space="preserve">Random Forest was selected as the candidate model over Gradient Boosting and the enriched logistic regression, based on its overall performance and the interpretability of its feature importances. The same patient-grouped train/test split from Week 5 was kept unchanged to ensure a fair comparison.</w:t>
      </w:r>
    </w:p>
    <w:p>
      <w:pPr>
        <w:spacing w:after="100" w:before="120"/>
      </w:pPr>
      <w:r>
        <w:rPr>
          <w:b/>
          <w:bCs/>
          <w:sz w:val="22"/>
          <w:szCs w:val="22"/>
        </w:rPr>
        <w:t xml:space="preserve">Cross-Track Collaboration</w:t>
      </w:r>
    </w:p>
    <w:p>
      <w:pPr>
        <w:spacing w:after="240"/>
      </w:pPr>
      <w:r>
        <w:rPr>
          <w:sz w:val="22"/>
          <w:szCs w:val="22"/>
        </w:rPr>
        <w:t xml:space="preserve">Reached out to the Data Analytics track (SexyGlad) to request insights on patient or appointment segments with elevated no-show rates, and offered to share the Random Forest feature importance findings — in particular the distance_to_clinic_km signal — in return. A response was still pending at the time of writing; this section will be updated with what was exchanged and what changed as a result once received.</w:t>
      </w:r>
    </w:p>
    <w:p>
      <w:pPr>
        <w:spacing w:after="100" w:before="120"/>
      </w:pPr>
      <w:r>
        <w:rPr>
          <w:b/>
          <w:bCs/>
          <w:sz w:val="22"/>
          <w:szCs w:val="22"/>
        </w:rPr>
        <w:t xml:space="preserve">Remaining Work</w:t>
      </w:r>
    </w:p>
    <w:p>
      <w:pPr>
        <w:spacing w:after="240"/>
      </w:pPr>
      <w:r>
        <w:rPr>
          <w:sz w:val="22"/>
          <w:szCs w:val="22"/>
        </w:rPr>
        <w:t xml:space="preserve">Cross-validation is needed to confirm the improvement is stable rather than a split artifact, along with hyperparameter tuning to check for further headroom. The role of distance_to_clinic_km in no-show risk still needs domain interpretation. Business-relevance testing at realistic decision thresholds (e.g. the top 20% highest-risk appointments) has not yet been done.</w:t>
      </w:r>
    </w:p>
    <w:p>
      <w:pPr>
        <w:spacing w:after="100" w:before="120"/>
      </w:pPr>
      <w:r>
        <w:rPr>
          <w:b/>
          <w:bCs/>
          <w:sz w:val="22"/>
          <w:szCs w:val="22"/>
        </w:rPr>
        <w:t xml:space="preserve">Proposed Focus for Week 7</w:t>
      </w:r>
    </w:p>
    <w:p>
      <w:pPr>
        <w:spacing w:after="240"/>
      </w:pPr>
      <w:r>
        <w:rPr>
          <w:sz w:val="22"/>
          <w:szCs w:val="22"/>
        </w:rPr>
        <w:t xml:space="preserve">Run grouped cross-validation and hyperparameter tuning on the Random Forest candidate, test the model's usefulness at realistic risk thresholds rather than the default 0.5 cutoff, and incorporate the Data Analytics track's insights once received.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2026-09-11T01:45:58.855Z</dcterms:created>
  <dcterms:modified xsi:type="dcterms:W3CDTF">2026-09-11T01:45:58.867Z</dcterms:modified>
</cp:coreProperties>
</file>

<file path=docProps/custom.xml><?xml version="1.0" encoding="utf-8"?>
<Properties xmlns="http://schemas.openxmlformats.org/officeDocument/2006/custom-properties" xmlns:vt="http://schemas.openxmlformats.org/officeDocument/2006/docPropsVTypes"/>
</file>