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z5dk4fb75et" w:id="0"/>
      <w:bookmarkEnd w:id="0"/>
      <w:r w:rsidDel="00000000" w:rsidR="00000000" w:rsidRPr="00000000">
        <w:rPr>
          <w:rtl w:val="0"/>
        </w:rPr>
        <w:t xml:space="preserve">Morphological annotation tools (gold corpus)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Converter ATF to CDLI-CoNLL 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Pre-annotation tool: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https://github.com/cdli-gh/mtaac_work/issues/13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Base data (unfinished)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https://drive.google.com/drive/folders/0B99LKgTsRaC6R0NXd2dkaWZYLXc?usp=sharing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Text examples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https://drive.google.com/drive/folders/0B99LKgTsRaC6R0NXd2dkaWZYLXc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Morphological annotations checker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Only valid tags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Columns intact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Including deleting extra columns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Converter to CDLI-CoNLL to ConLL-U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the pre-annotation tool issue 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dli-gh/mtaac_work/issues/13" TargetMode="External"/><Relationship Id="rId6" Type="http://schemas.openxmlformats.org/officeDocument/2006/relationships/hyperlink" Target="https://drive.google.com/drive/folders/0B99LKgTsRaC6R0NXd2dkaWZYLXc?usp=sharing" TargetMode="External"/><Relationship Id="rId7" Type="http://schemas.openxmlformats.org/officeDocument/2006/relationships/hyperlink" Target="https://drive.google.com/drive/folders/0B99LKgTsRaC6R0NXd2dkaWZYLXc" TargetMode="External"/></Relationships>
</file>