
<file path=[Content_Types].xml><?xml version="1.0" encoding="utf-8"?>
<Types xmlns="http://schemas.openxmlformats.org/package/2006/content-types">
  <Default Extension="xml" ContentType="application/xml"/>
  <Default Extension="wmf" ContentType="image/x-wmf"/>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07C5BDE">
      <w:pPr>
        <w:spacing w:beforeLines="0" w:afterLines="0"/>
        <w:ind w:firstLine="0" w:firstLineChars="0"/>
        <w:jc w:val="center"/>
        <w:rPr>
          <w:rFonts w:hint="eastAsia" w:ascii="楷体_GB2312" w:eastAsia="楷体_GB2312"/>
          <w:b/>
          <w:sz w:val="44"/>
          <w:szCs w:val="44"/>
        </w:rPr>
      </w:pPr>
      <w:r>
        <w:rPr>
          <w:rFonts w:hint="default"/>
          <w:sz w:val="21"/>
          <w:szCs w:val="24"/>
        </w:rPr>
        <w:drawing>
          <wp:inline distT="0" distB="0" distL="114300" distR="114300">
            <wp:extent cx="4545965" cy="1567180"/>
            <wp:effectExtent l="0" t="0" r="0" b="7620"/>
            <wp:docPr id="21" name="图片 1" descr="lQLPKGuaFWG7GH_NBGrNDM-w3Xw41MuFQwgFy6wL6jGDAA_3279_11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图片 1" descr="lQLPKGuaFWG7GH_NBGrNDM-w3Xw41MuFQwgFy6wL6jGDAA_3279_1130"/>
                    <pic:cNvPicPr>
                      <a:picLocks noChangeAspect="1"/>
                    </pic:cNvPicPr>
                  </pic:nvPicPr>
                  <pic:blipFill>
                    <a:blip r:embed="rId10"/>
                    <a:stretch>
                      <a:fillRect/>
                    </a:stretch>
                  </pic:blipFill>
                  <pic:spPr>
                    <a:xfrm>
                      <a:off x="0" y="0"/>
                      <a:ext cx="4545965" cy="1567180"/>
                    </a:xfrm>
                    <a:prstGeom prst="rect">
                      <a:avLst/>
                    </a:prstGeom>
                    <a:noFill/>
                    <a:ln>
                      <a:noFill/>
                    </a:ln>
                  </pic:spPr>
                </pic:pic>
              </a:graphicData>
            </a:graphic>
          </wp:inline>
        </w:drawing>
      </w:r>
    </w:p>
    <w:p w14:paraId="6760AA02">
      <w:pPr>
        <w:spacing w:beforeLines="0" w:afterLines="0" w:line="240" w:lineRule="auto"/>
        <w:ind w:firstLine="0" w:firstLineChars="0"/>
        <w:jc w:val="center"/>
        <w:rPr>
          <w:rFonts w:hint="eastAsia" w:ascii="楷体_GB2312" w:eastAsia="楷体_GB2312"/>
          <w:b/>
          <w:sz w:val="72"/>
          <w:szCs w:val="72"/>
        </w:rPr>
      </w:pPr>
      <w:r>
        <w:rPr>
          <w:rFonts w:hint="eastAsia" w:ascii="楷体_GB2312" w:eastAsia="楷体_GB2312"/>
          <w:b/>
          <w:sz w:val="72"/>
          <w:szCs w:val="72"/>
        </w:rPr>
        <w:t>商业数据分析</w:t>
      </w:r>
    </w:p>
    <w:p w14:paraId="1759ADA1">
      <w:pPr>
        <w:keepNext w:val="0"/>
        <w:keepLines w:val="0"/>
        <w:pageBreakBefore w:val="0"/>
        <w:widowControl/>
        <w:kinsoku/>
        <w:wordWrap/>
        <w:overflowPunct/>
        <w:topLinePunct w:val="0"/>
        <w:autoSpaceDE/>
        <w:autoSpaceDN/>
        <w:bidi w:val="0"/>
        <w:adjustRightInd/>
        <w:snapToGrid/>
        <w:spacing w:beforeLines="0" w:afterLines="0" w:line="440" w:lineRule="exact"/>
        <w:ind w:firstLine="561"/>
        <w:textAlignment w:val="auto"/>
        <w:rPr>
          <w:rFonts w:hint="eastAsia" w:ascii="楷体_GB2312" w:eastAsia="楷体_GB2312"/>
          <w:sz w:val="28"/>
          <w:szCs w:val="28"/>
          <w:u w:val="single"/>
        </w:rPr>
      </w:pPr>
      <w:r>
        <w:rPr>
          <w:rFonts w:hint="eastAsia" w:ascii="楷体_GB2312" w:eastAsia="楷体_GB2312"/>
          <w:sz w:val="28"/>
          <w:szCs w:val="28"/>
        </w:rPr>
        <w:t>题　　目：</w:t>
      </w:r>
      <w:r>
        <w:rPr>
          <w:rFonts w:hint="eastAsia" w:ascii="楷体_GB2312" w:eastAsia="楷体_GB2312"/>
          <w:sz w:val="28"/>
          <w:szCs w:val="28"/>
          <w:u w:val="single"/>
        </w:rPr>
        <w:t>　纽约Airbnb民宿定价与房源特征可视化分析　　　　　　　　　　　　　　　　　　　　</w:t>
      </w:r>
    </w:p>
    <w:p w14:paraId="2D368B00">
      <w:pPr>
        <w:keepNext w:val="0"/>
        <w:keepLines w:val="0"/>
        <w:pageBreakBefore w:val="0"/>
        <w:widowControl/>
        <w:kinsoku/>
        <w:wordWrap/>
        <w:overflowPunct/>
        <w:topLinePunct w:val="0"/>
        <w:autoSpaceDE/>
        <w:autoSpaceDN/>
        <w:bidi w:val="0"/>
        <w:adjustRightInd/>
        <w:snapToGrid/>
        <w:spacing w:beforeLines="0" w:afterLines="0" w:line="440" w:lineRule="exact"/>
        <w:ind w:firstLine="561"/>
        <w:textAlignment w:val="auto"/>
        <w:rPr>
          <w:rFonts w:hint="eastAsia" w:ascii="楷体_GB2312" w:eastAsia="楷体_GB2312"/>
          <w:sz w:val="28"/>
          <w:szCs w:val="28"/>
        </w:rPr>
      </w:pPr>
      <w:r>
        <w:rPr>
          <w:rFonts w:hint="eastAsia" w:ascii="楷体_GB2312" w:eastAsia="楷体_GB2312"/>
          <w:sz w:val="28"/>
          <w:szCs w:val="28"/>
        </w:rPr>
        <w:t>学　　院：</w:t>
      </w:r>
      <w:r>
        <w:rPr>
          <w:rFonts w:hint="eastAsia" w:ascii="楷体_GB2312" w:eastAsia="楷体_GB2312"/>
          <w:sz w:val="28"/>
          <w:szCs w:val="28"/>
          <w:u w:val="single"/>
        </w:rPr>
        <w:t>　　</w:t>
      </w:r>
      <w:r>
        <w:rPr>
          <w:rFonts w:hint="eastAsia" w:ascii="楷体_GB2312" w:eastAsia="楷体_GB2312"/>
          <w:sz w:val="28"/>
          <w:szCs w:val="28"/>
          <w:u w:val="single"/>
          <w:lang w:val="en-US" w:eastAsia="zh-CN"/>
        </w:rPr>
        <w:t>数据科学学院</w:t>
      </w:r>
      <w:r>
        <w:rPr>
          <w:rFonts w:hint="eastAsia" w:ascii="楷体_GB2312" w:eastAsia="楷体_GB2312"/>
          <w:sz w:val="28"/>
          <w:szCs w:val="28"/>
          <w:u w:val="single"/>
        </w:rPr>
        <w:t>　　　　　　　　　　　　　　　　　　　</w:t>
      </w:r>
    </w:p>
    <w:p w14:paraId="5453268A">
      <w:pPr>
        <w:keepNext w:val="0"/>
        <w:keepLines w:val="0"/>
        <w:pageBreakBefore w:val="0"/>
        <w:widowControl/>
        <w:kinsoku/>
        <w:wordWrap/>
        <w:overflowPunct/>
        <w:topLinePunct w:val="0"/>
        <w:autoSpaceDE/>
        <w:autoSpaceDN/>
        <w:bidi w:val="0"/>
        <w:adjustRightInd/>
        <w:snapToGrid/>
        <w:spacing w:beforeLines="0" w:afterLines="0" w:line="440" w:lineRule="exact"/>
        <w:ind w:firstLine="561"/>
        <w:textAlignment w:val="auto"/>
        <w:rPr>
          <w:rFonts w:hint="eastAsia" w:ascii="楷体_GB2312" w:eastAsia="楷体_GB2312"/>
          <w:sz w:val="28"/>
          <w:szCs w:val="28"/>
          <w:u w:val="single"/>
        </w:rPr>
      </w:pPr>
      <w:r>
        <w:rPr>
          <w:rFonts w:hint="eastAsia" w:ascii="楷体_GB2312" w:eastAsia="楷体_GB2312"/>
          <w:sz w:val="28"/>
          <w:szCs w:val="28"/>
        </w:rPr>
        <w:t>专业班级：</w:t>
      </w:r>
      <w:r>
        <w:rPr>
          <w:rFonts w:hint="eastAsia" w:ascii="楷体_GB2312" w:eastAsia="楷体_GB2312"/>
          <w:sz w:val="28"/>
          <w:szCs w:val="28"/>
          <w:u w:val="single"/>
        </w:rPr>
        <w:t>　　</w:t>
      </w:r>
      <w:r>
        <w:rPr>
          <w:rFonts w:hint="eastAsia" w:ascii="楷体_GB2312" w:eastAsia="楷体_GB2312"/>
          <w:sz w:val="28"/>
          <w:szCs w:val="28"/>
          <w:u w:val="single"/>
          <w:lang w:val="en-US" w:eastAsia="zh-CN"/>
        </w:rPr>
        <w:t>大数据241</w:t>
      </w:r>
      <w:r>
        <w:rPr>
          <w:rFonts w:hint="eastAsia" w:ascii="楷体_GB2312" w:eastAsia="楷体_GB2312"/>
          <w:sz w:val="28"/>
          <w:szCs w:val="28"/>
          <w:u w:val="single"/>
        </w:rPr>
        <w:t>　　　　　　　　　　　　　　　　　　　</w:t>
      </w:r>
    </w:p>
    <w:p w14:paraId="20DA2D57">
      <w:pPr>
        <w:keepNext w:val="0"/>
        <w:keepLines w:val="0"/>
        <w:pageBreakBefore w:val="0"/>
        <w:widowControl/>
        <w:kinsoku/>
        <w:wordWrap/>
        <w:overflowPunct/>
        <w:topLinePunct w:val="0"/>
        <w:autoSpaceDE/>
        <w:autoSpaceDN/>
        <w:bidi w:val="0"/>
        <w:adjustRightInd/>
        <w:snapToGrid/>
        <w:spacing w:beforeLines="0" w:afterLines="0" w:line="440" w:lineRule="exact"/>
        <w:ind w:firstLine="561"/>
        <w:textAlignment w:val="auto"/>
        <w:rPr>
          <w:rFonts w:hint="eastAsia" w:ascii="楷体_GB2312" w:eastAsia="楷体_GB2312"/>
          <w:sz w:val="28"/>
          <w:szCs w:val="28"/>
        </w:rPr>
      </w:pPr>
      <w:r>
        <w:rPr>
          <w:rFonts w:hint="eastAsia" w:ascii="楷体_GB2312" w:eastAsia="楷体_GB2312"/>
          <w:sz w:val="28"/>
          <w:szCs w:val="28"/>
        </w:rPr>
        <w:t>学　　号：</w:t>
      </w:r>
      <w:r>
        <w:rPr>
          <w:rFonts w:hint="eastAsia" w:ascii="楷体_GB2312" w:eastAsia="楷体_GB2312"/>
          <w:sz w:val="28"/>
          <w:szCs w:val="28"/>
          <w:u w:val="single"/>
        </w:rPr>
        <w:t>　　</w:t>
      </w:r>
      <w:r>
        <w:rPr>
          <w:rFonts w:hint="eastAsia" w:ascii="楷体_GB2312" w:eastAsia="楷体_GB2312"/>
          <w:sz w:val="28"/>
          <w:szCs w:val="28"/>
          <w:u w:val="single"/>
          <w:lang w:val="en-US" w:eastAsia="zh-CN"/>
        </w:rPr>
        <w:t>2024459985110</w:t>
      </w:r>
      <w:r>
        <w:rPr>
          <w:rFonts w:hint="eastAsia" w:ascii="楷体_GB2312" w:eastAsia="楷体_GB2312"/>
          <w:sz w:val="28"/>
          <w:szCs w:val="28"/>
          <w:u w:val="single"/>
        </w:rPr>
        <w:t>　　　　　　　　　　　　　　　　　　　</w:t>
      </w:r>
    </w:p>
    <w:p w14:paraId="0ABB633E">
      <w:pPr>
        <w:keepNext w:val="0"/>
        <w:keepLines w:val="0"/>
        <w:pageBreakBefore w:val="0"/>
        <w:widowControl/>
        <w:kinsoku/>
        <w:wordWrap/>
        <w:overflowPunct/>
        <w:topLinePunct w:val="0"/>
        <w:autoSpaceDE/>
        <w:autoSpaceDN/>
        <w:bidi w:val="0"/>
        <w:adjustRightInd/>
        <w:snapToGrid/>
        <w:spacing w:beforeLines="0" w:afterLines="0" w:line="440" w:lineRule="exact"/>
        <w:ind w:firstLine="561"/>
        <w:textAlignment w:val="auto"/>
        <w:rPr>
          <w:rFonts w:hint="eastAsia" w:ascii="楷体_GB2312" w:eastAsia="楷体_GB2312"/>
          <w:sz w:val="28"/>
          <w:szCs w:val="28"/>
        </w:rPr>
      </w:pPr>
      <w:r>
        <w:rPr>
          <w:rFonts w:hint="eastAsia" w:ascii="楷体_GB2312" w:eastAsia="楷体_GB2312"/>
          <w:sz w:val="28"/>
          <w:szCs w:val="28"/>
        </w:rPr>
        <w:t>姓　　名：</w:t>
      </w:r>
      <w:r>
        <w:rPr>
          <w:rFonts w:hint="eastAsia" w:ascii="楷体_GB2312" w:eastAsia="楷体_GB2312"/>
          <w:sz w:val="28"/>
          <w:szCs w:val="28"/>
          <w:u w:val="single"/>
        </w:rPr>
        <w:t>　　</w:t>
      </w:r>
      <w:r>
        <w:rPr>
          <w:rFonts w:hint="eastAsia" w:ascii="楷体_GB2312" w:eastAsia="楷体_GB2312"/>
          <w:sz w:val="28"/>
          <w:szCs w:val="28"/>
          <w:u w:val="single"/>
          <w:lang w:val="en-US" w:eastAsia="zh-CN"/>
        </w:rPr>
        <w:t>陈丹</w:t>
      </w:r>
      <w:r>
        <w:rPr>
          <w:rFonts w:hint="eastAsia" w:ascii="楷体_GB2312" w:eastAsia="楷体_GB2312"/>
          <w:sz w:val="28"/>
          <w:szCs w:val="28"/>
          <w:u w:val="single"/>
        </w:rPr>
        <w:t>　　　</w:t>
      </w:r>
      <w:r>
        <w:rPr>
          <w:rFonts w:hint="eastAsia" w:ascii="楷体_GB2312" w:eastAsia="楷体_GB2312"/>
          <w:sz w:val="28"/>
          <w:szCs w:val="28"/>
          <w:u w:val="single"/>
          <w:lang w:val="en-US" w:eastAsia="zh-CN"/>
        </w:rPr>
        <w:t xml:space="preserve">  </w:t>
      </w:r>
      <w:r>
        <w:rPr>
          <w:rFonts w:hint="eastAsia" w:ascii="楷体_GB2312" w:eastAsia="楷体_GB2312"/>
          <w:sz w:val="28"/>
          <w:szCs w:val="28"/>
          <w:u w:val="single"/>
        </w:rPr>
        <w:t>　　　　　　　　　　　　　　　　</w:t>
      </w:r>
    </w:p>
    <w:p w14:paraId="66EAF4D4">
      <w:pPr>
        <w:keepNext w:val="0"/>
        <w:keepLines w:val="0"/>
        <w:pageBreakBefore w:val="0"/>
        <w:widowControl/>
        <w:kinsoku/>
        <w:wordWrap/>
        <w:overflowPunct/>
        <w:topLinePunct w:val="0"/>
        <w:autoSpaceDE/>
        <w:autoSpaceDN/>
        <w:bidi w:val="0"/>
        <w:adjustRightInd/>
        <w:snapToGrid/>
        <w:spacing w:beforeLines="0" w:afterLines="0" w:line="440" w:lineRule="exact"/>
        <w:ind w:firstLine="561"/>
        <w:textAlignment w:val="auto"/>
        <w:rPr>
          <w:rFonts w:hint="eastAsia" w:ascii="楷体_GB2312" w:eastAsia="楷体_GB2312"/>
          <w:sz w:val="28"/>
          <w:szCs w:val="28"/>
          <w:u w:val="single"/>
        </w:rPr>
      </w:pPr>
      <w:r>
        <w:rPr>
          <w:rFonts w:hint="eastAsia" w:ascii="楷体_GB2312" w:eastAsia="楷体_GB2312"/>
          <w:sz w:val="28"/>
          <w:szCs w:val="28"/>
        </w:rPr>
        <w:t>完成日期：</w:t>
      </w:r>
      <w:r>
        <w:rPr>
          <w:rFonts w:hint="eastAsia" w:ascii="楷体_GB2312" w:eastAsia="楷体_GB2312"/>
          <w:sz w:val="28"/>
          <w:szCs w:val="28"/>
          <w:u w:val="single"/>
        </w:rPr>
        <w:t>　　</w:t>
      </w:r>
      <w:r>
        <w:rPr>
          <w:rFonts w:hint="eastAsia" w:ascii="楷体_GB2312" w:eastAsia="楷体_GB2312"/>
          <w:sz w:val="28"/>
          <w:szCs w:val="28"/>
          <w:u w:val="single"/>
          <w:lang w:val="en-US" w:eastAsia="zh-CN"/>
        </w:rPr>
        <w:t>2026.11.01</w:t>
      </w:r>
      <w:r>
        <w:rPr>
          <w:rFonts w:hint="eastAsia" w:ascii="楷体_GB2312" w:eastAsia="楷体_GB2312"/>
          <w:sz w:val="28"/>
          <w:szCs w:val="28"/>
          <w:u w:val="single"/>
        </w:rPr>
        <w:t>　　　　　　　　　　　　　　　　　　　</w:t>
      </w:r>
    </w:p>
    <w:tbl>
      <w:tblPr>
        <w:tblStyle w:val="32"/>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885"/>
        <w:gridCol w:w="6111"/>
        <w:gridCol w:w="865"/>
      </w:tblGrid>
      <w:tr w14:paraId="0CEFF9F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wAfter w:w="0" w:type="dxa"/>
          <w:trHeight w:val="293" w:hRule="atLeast"/>
        </w:trPr>
        <w:tc>
          <w:tcPr>
            <w:tcW w:w="1064" w:type="pct"/>
            <w:tcBorders>
              <w:top w:val="single" w:color="auto" w:sz="4" w:space="0"/>
              <w:left w:val="single" w:color="auto" w:sz="4" w:space="0"/>
              <w:bottom w:val="single" w:color="auto" w:sz="4" w:space="0"/>
              <w:right w:val="single" w:color="auto" w:sz="4" w:space="0"/>
              <w:tl2br w:val="nil"/>
              <w:tr2bl w:val="nil"/>
            </w:tcBorders>
            <w:noWrap w:val="0"/>
            <w:vAlign w:val="center"/>
          </w:tcPr>
          <w:p w14:paraId="380C2D95">
            <w:pPr>
              <w:autoSpaceDE w:val="0"/>
              <w:autoSpaceDN w:val="0"/>
              <w:adjustRightInd w:val="0"/>
              <w:spacing w:beforeLines="0" w:afterLines="0" w:line="240" w:lineRule="auto"/>
              <w:ind w:firstLine="0" w:firstLineChars="0"/>
              <w:jc w:val="center"/>
              <w:rPr>
                <w:rFonts w:hint="eastAsia" w:ascii="宋体" w:cs="宋体"/>
                <w:b/>
                <w:color w:val="000000"/>
                <w:kern w:val="0"/>
                <w:sz w:val="18"/>
                <w:szCs w:val="18"/>
              </w:rPr>
            </w:pPr>
            <w:r>
              <w:rPr>
                <w:rFonts w:hint="eastAsia" w:ascii="宋体" w:cs="宋体"/>
                <w:b/>
                <w:color w:val="000000"/>
                <w:kern w:val="0"/>
                <w:sz w:val="18"/>
                <w:szCs w:val="18"/>
              </w:rPr>
              <w:t>评分维度</w:t>
            </w:r>
          </w:p>
        </w:tc>
        <w:tc>
          <w:tcPr>
            <w:tcW w:w="3448" w:type="pct"/>
            <w:tcBorders>
              <w:top w:val="single" w:color="auto" w:sz="4" w:space="0"/>
              <w:left w:val="single" w:color="auto" w:sz="4" w:space="0"/>
              <w:bottom w:val="single" w:color="auto" w:sz="4" w:space="0"/>
              <w:right w:val="single" w:color="auto" w:sz="4" w:space="0"/>
              <w:tl2br w:val="nil"/>
              <w:tr2bl w:val="nil"/>
            </w:tcBorders>
            <w:noWrap w:val="0"/>
            <w:vAlign w:val="center"/>
          </w:tcPr>
          <w:p w14:paraId="007AD231">
            <w:pPr>
              <w:autoSpaceDE w:val="0"/>
              <w:autoSpaceDN w:val="0"/>
              <w:adjustRightInd w:val="0"/>
              <w:spacing w:beforeLines="0" w:afterLines="0" w:line="240" w:lineRule="auto"/>
              <w:ind w:firstLine="0" w:firstLineChars="0"/>
              <w:jc w:val="center"/>
              <w:rPr>
                <w:rFonts w:hint="eastAsia" w:ascii="宋体" w:cs="宋体"/>
                <w:b/>
                <w:color w:val="000000"/>
                <w:kern w:val="0"/>
                <w:sz w:val="18"/>
                <w:szCs w:val="18"/>
              </w:rPr>
            </w:pPr>
            <w:r>
              <w:rPr>
                <w:rFonts w:hint="eastAsia" w:ascii="宋体" w:cs="宋体"/>
                <w:b/>
                <w:color w:val="000000"/>
                <w:kern w:val="0"/>
                <w:sz w:val="18"/>
                <w:szCs w:val="18"/>
              </w:rPr>
              <w:t>评分要点（子项及分值）</w:t>
            </w:r>
          </w:p>
        </w:tc>
        <w:tc>
          <w:tcPr>
            <w:tcW w:w="488" w:type="pct"/>
            <w:tcBorders>
              <w:top w:val="single" w:color="auto" w:sz="4" w:space="0"/>
              <w:left w:val="single" w:color="auto" w:sz="4" w:space="0"/>
              <w:bottom w:val="single" w:color="auto" w:sz="4" w:space="0"/>
              <w:right w:val="single" w:color="auto" w:sz="4" w:space="0"/>
              <w:tl2br w:val="nil"/>
              <w:tr2bl w:val="nil"/>
            </w:tcBorders>
            <w:noWrap w:val="0"/>
            <w:vAlign w:val="center"/>
          </w:tcPr>
          <w:p w14:paraId="3107A523">
            <w:pPr>
              <w:autoSpaceDE w:val="0"/>
              <w:autoSpaceDN w:val="0"/>
              <w:adjustRightInd w:val="0"/>
              <w:spacing w:beforeLines="0" w:afterLines="0" w:line="240" w:lineRule="auto"/>
              <w:ind w:firstLine="0" w:firstLineChars="0"/>
              <w:jc w:val="center"/>
              <w:rPr>
                <w:rFonts w:hint="eastAsia" w:ascii="宋体" w:cs="宋体"/>
                <w:b/>
                <w:color w:val="000000"/>
                <w:kern w:val="0"/>
                <w:sz w:val="18"/>
                <w:szCs w:val="18"/>
              </w:rPr>
            </w:pPr>
            <w:r>
              <w:rPr>
                <w:rFonts w:hint="eastAsia" w:ascii="宋体" w:cs="宋体"/>
                <w:b/>
                <w:color w:val="000000"/>
                <w:kern w:val="0"/>
                <w:sz w:val="18"/>
                <w:szCs w:val="18"/>
              </w:rPr>
              <w:t>得分</w:t>
            </w:r>
          </w:p>
        </w:tc>
      </w:tr>
      <w:tr w14:paraId="6478833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wAfter w:w="0" w:type="dxa"/>
          <w:trHeight w:val="293" w:hRule="atLeast"/>
        </w:trPr>
        <w:tc>
          <w:tcPr>
            <w:tcW w:w="1064" w:type="pct"/>
            <w:tcBorders>
              <w:top w:val="single" w:color="auto" w:sz="4" w:space="0"/>
              <w:left w:val="single" w:color="auto" w:sz="4" w:space="0"/>
              <w:bottom w:val="single" w:color="auto" w:sz="4" w:space="0"/>
              <w:right w:val="single" w:color="auto" w:sz="4" w:space="0"/>
              <w:tl2br w:val="nil"/>
              <w:tr2bl w:val="nil"/>
            </w:tcBorders>
            <w:noWrap w:val="0"/>
            <w:vAlign w:val="center"/>
          </w:tcPr>
          <w:p w14:paraId="55EFE223">
            <w:pPr>
              <w:autoSpaceDE w:val="0"/>
              <w:autoSpaceDN w:val="0"/>
              <w:adjustRightInd w:val="0"/>
              <w:spacing w:beforeLines="0" w:afterLines="0" w:line="240" w:lineRule="auto"/>
              <w:ind w:firstLine="0" w:firstLineChars="0"/>
              <w:rPr>
                <w:rFonts w:hint="default"/>
                <w:color w:val="000000"/>
                <w:kern w:val="0"/>
                <w:sz w:val="18"/>
                <w:szCs w:val="18"/>
              </w:rPr>
            </w:pPr>
            <w:r>
              <w:rPr>
                <w:rFonts w:hint="default"/>
                <w:color w:val="000000"/>
                <w:kern w:val="0"/>
                <w:sz w:val="18"/>
                <w:szCs w:val="18"/>
              </w:rPr>
              <w:t xml:space="preserve">1. </w:t>
            </w:r>
            <w:r>
              <w:rPr>
                <w:rFonts w:hint="eastAsia"/>
                <w:color w:val="000000"/>
                <w:kern w:val="0"/>
                <w:sz w:val="18"/>
                <w:szCs w:val="18"/>
              </w:rPr>
              <w:t>数据获取合规性与清洗质量（15分）</w:t>
            </w:r>
          </w:p>
        </w:tc>
        <w:tc>
          <w:tcPr>
            <w:tcW w:w="3448" w:type="pct"/>
            <w:tcBorders>
              <w:top w:val="single" w:color="auto" w:sz="4" w:space="0"/>
              <w:left w:val="single" w:color="auto" w:sz="4" w:space="0"/>
              <w:bottom w:val="single" w:color="auto" w:sz="4" w:space="0"/>
              <w:right w:val="single" w:color="auto" w:sz="4" w:space="0"/>
              <w:tl2br w:val="nil"/>
              <w:tr2bl w:val="nil"/>
            </w:tcBorders>
            <w:noWrap w:val="0"/>
            <w:vAlign w:val="center"/>
          </w:tcPr>
          <w:p w14:paraId="587D5BF0">
            <w:pPr>
              <w:autoSpaceDE w:val="0"/>
              <w:autoSpaceDN w:val="0"/>
              <w:adjustRightInd w:val="0"/>
              <w:spacing w:beforeLines="0" w:afterLines="0" w:line="240" w:lineRule="auto"/>
              <w:ind w:firstLine="0" w:firstLineChars="0"/>
              <w:rPr>
                <w:rFonts w:hint="default"/>
                <w:color w:val="000000"/>
                <w:kern w:val="0"/>
                <w:sz w:val="18"/>
                <w:szCs w:val="18"/>
              </w:rPr>
            </w:pPr>
            <w:r>
              <w:rPr>
                <w:rFonts w:hint="default" w:ascii="Cambria Math" w:hAnsi="Cambria Math" w:cs="Cambria Math"/>
                <w:color w:val="000000"/>
                <w:kern w:val="0"/>
                <w:sz w:val="18"/>
                <w:szCs w:val="18"/>
              </w:rPr>
              <w:t>①</w:t>
            </w:r>
            <w:r>
              <w:rPr>
                <w:rFonts w:hint="default"/>
                <w:color w:val="000000"/>
                <w:kern w:val="0"/>
                <w:sz w:val="18"/>
                <w:szCs w:val="18"/>
              </w:rPr>
              <w:t xml:space="preserve"> </w:t>
            </w:r>
            <w:r>
              <w:rPr>
                <w:rFonts w:hint="eastAsia"/>
                <w:color w:val="000000"/>
                <w:kern w:val="0"/>
                <w:sz w:val="18"/>
                <w:szCs w:val="18"/>
              </w:rPr>
              <w:t>来源合规、白名单方式、合规声明完整（5）；</w:t>
            </w:r>
            <w:r>
              <w:rPr>
                <w:rFonts w:hint="default" w:ascii="Cambria Math" w:hAnsi="Cambria Math" w:cs="Cambria Math"/>
                <w:color w:val="000000"/>
                <w:kern w:val="0"/>
                <w:sz w:val="18"/>
                <w:szCs w:val="18"/>
              </w:rPr>
              <w:t>②</w:t>
            </w:r>
            <w:r>
              <w:rPr>
                <w:rFonts w:hint="default"/>
                <w:color w:val="000000"/>
                <w:kern w:val="0"/>
                <w:sz w:val="18"/>
                <w:szCs w:val="18"/>
              </w:rPr>
              <w:t xml:space="preserve"> </w:t>
            </w:r>
            <w:r>
              <w:rPr>
                <w:rFonts w:hint="eastAsia"/>
                <w:color w:val="000000"/>
                <w:kern w:val="0"/>
                <w:sz w:val="18"/>
                <w:szCs w:val="18"/>
              </w:rPr>
              <w:t>数据量达标、抽样方法与随机种子说明（4）；</w:t>
            </w:r>
            <w:r>
              <w:rPr>
                <w:rFonts w:hint="default" w:ascii="Cambria Math" w:hAnsi="Cambria Math" w:cs="Cambria Math"/>
                <w:color w:val="000000"/>
                <w:kern w:val="0"/>
                <w:sz w:val="18"/>
                <w:szCs w:val="18"/>
              </w:rPr>
              <w:t>③</w:t>
            </w:r>
            <w:r>
              <w:rPr>
                <w:rFonts w:hint="default"/>
                <w:color w:val="000000"/>
                <w:kern w:val="0"/>
                <w:sz w:val="18"/>
                <w:szCs w:val="18"/>
              </w:rPr>
              <w:t xml:space="preserve"> </w:t>
            </w:r>
            <w:r>
              <w:rPr>
                <w:rFonts w:hint="eastAsia"/>
                <w:color w:val="000000"/>
                <w:kern w:val="0"/>
                <w:sz w:val="18"/>
                <w:szCs w:val="18"/>
              </w:rPr>
              <w:t>清洗完整、异常/缺失/重复处理、多表对齐（4）；</w:t>
            </w:r>
            <w:r>
              <w:rPr>
                <w:rFonts w:hint="default" w:ascii="Cambria Math" w:hAnsi="Cambria Math" w:cs="Cambria Math"/>
                <w:color w:val="000000"/>
                <w:kern w:val="0"/>
                <w:sz w:val="18"/>
                <w:szCs w:val="18"/>
              </w:rPr>
              <w:t>④</w:t>
            </w:r>
            <w:r>
              <w:rPr>
                <w:rFonts w:hint="default"/>
                <w:color w:val="000000"/>
                <w:kern w:val="0"/>
                <w:sz w:val="18"/>
                <w:szCs w:val="18"/>
              </w:rPr>
              <w:t xml:space="preserve"> </w:t>
            </w:r>
            <w:r>
              <w:rPr>
                <w:rFonts w:hint="eastAsia"/>
                <w:color w:val="000000"/>
                <w:kern w:val="0"/>
                <w:sz w:val="18"/>
                <w:szCs w:val="18"/>
              </w:rPr>
              <w:t>可导出 CSV/JSON/SQLite 复用（2）</w:t>
            </w:r>
          </w:p>
        </w:tc>
        <w:tc>
          <w:tcPr>
            <w:tcW w:w="488" w:type="pct"/>
            <w:tcBorders>
              <w:top w:val="single" w:color="auto" w:sz="4" w:space="0"/>
              <w:left w:val="single" w:color="auto" w:sz="4" w:space="0"/>
              <w:bottom w:val="single" w:color="auto" w:sz="4" w:space="0"/>
              <w:right w:val="single" w:color="auto" w:sz="4" w:space="0"/>
              <w:tl2br w:val="nil"/>
              <w:tr2bl w:val="nil"/>
            </w:tcBorders>
            <w:noWrap w:val="0"/>
            <w:vAlign w:val="center"/>
          </w:tcPr>
          <w:p w14:paraId="1B934C10">
            <w:pPr>
              <w:autoSpaceDE w:val="0"/>
              <w:autoSpaceDN w:val="0"/>
              <w:adjustRightInd w:val="0"/>
              <w:spacing w:beforeLines="0" w:afterLines="0" w:line="240" w:lineRule="auto"/>
              <w:ind w:firstLine="0" w:firstLineChars="0"/>
              <w:jc w:val="center"/>
              <w:rPr>
                <w:rFonts w:hint="eastAsia" w:ascii="宋体" w:cs="宋体"/>
                <w:color w:val="000000"/>
                <w:kern w:val="0"/>
                <w:sz w:val="18"/>
                <w:szCs w:val="18"/>
              </w:rPr>
            </w:pPr>
          </w:p>
        </w:tc>
      </w:tr>
      <w:tr w14:paraId="5ECFEB3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wAfter w:w="0" w:type="dxa"/>
          <w:trHeight w:val="293" w:hRule="atLeast"/>
        </w:trPr>
        <w:tc>
          <w:tcPr>
            <w:tcW w:w="1064" w:type="pct"/>
            <w:tcBorders>
              <w:top w:val="single" w:color="auto" w:sz="4" w:space="0"/>
              <w:left w:val="single" w:color="auto" w:sz="4" w:space="0"/>
              <w:bottom w:val="single" w:color="auto" w:sz="4" w:space="0"/>
              <w:right w:val="single" w:color="auto" w:sz="4" w:space="0"/>
              <w:tl2br w:val="nil"/>
              <w:tr2bl w:val="nil"/>
            </w:tcBorders>
            <w:noWrap w:val="0"/>
            <w:vAlign w:val="center"/>
          </w:tcPr>
          <w:p w14:paraId="21C754C9">
            <w:pPr>
              <w:autoSpaceDE w:val="0"/>
              <w:autoSpaceDN w:val="0"/>
              <w:adjustRightInd w:val="0"/>
              <w:spacing w:beforeLines="0" w:afterLines="0" w:line="240" w:lineRule="auto"/>
              <w:ind w:firstLine="0" w:firstLineChars="0"/>
              <w:rPr>
                <w:rFonts w:hint="default"/>
                <w:color w:val="000000"/>
                <w:kern w:val="0"/>
                <w:sz w:val="18"/>
                <w:szCs w:val="18"/>
              </w:rPr>
            </w:pPr>
            <w:r>
              <w:rPr>
                <w:rFonts w:hint="default"/>
                <w:color w:val="000000"/>
                <w:kern w:val="0"/>
                <w:sz w:val="18"/>
                <w:szCs w:val="18"/>
              </w:rPr>
              <w:t xml:space="preserve">2. </w:t>
            </w:r>
            <w:r>
              <w:rPr>
                <w:rFonts w:hint="eastAsia"/>
                <w:color w:val="000000"/>
                <w:kern w:val="0"/>
                <w:sz w:val="18"/>
                <w:szCs w:val="18"/>
              </w:rPr>
              <w:t>商业分析模型应用深度（20分）</w:t>
            </w:r>
          </w:p>
        </w:tc>
        <w:tc>
          <w:tcPr>
            <w:tcW w:w="3448" w:type="pct"/>
            <w:tcBorders>
              <w:top w:val="single" w:color="auto" w:sz="4" w:space="0"/>
              <w:left w:val="single" w:color="auto" w:sz="4" w:space="0"/>
              <w:bottom w:val="single" w:color="auto" w:sz="4" w:space="0"/>
              <w:right w:val="single" w:color="auto" w:sz="4" w:space="0"/>
              <w:tl2br w:val="nil"/>
              <w:tr2bl w:val="nil"/>
            </w:tcBorders>
            <w:noWrap w:val="0"/>
            <w:vAlign w:val="center"/>
          </w:tcPr>
          <w:p w14:paraId="1DCB0839">
            <w:pPr>
              <w:autoSpaceDE w:val="0"/>
              <w:autoSpaceDN w:val="0"/>
              <w:adjustRightInd w:val="0"/>
              <w:spacing w:beforeLines="0" w:afterLines="0" w:line="240" w:lineRule="auto"/>
              <w:ind w:firstLine="0" w:firstLineChars="0"/>
              <w:rPr>
                <w:rFonts w:hint="default"/>
                <w:color w:val="000000"/>
                <w:kern w:val="0"/>
                <w:sz w:val="18"/>
                <w:szCs w:val="18"/>
              </w:rPr>
            </w:pPr>
            <w:r>
              <w:rPr>
                <w:rFonts w:hint="default" w:ascii="Cambria Math" w:hAnsi="Cambria Math" w:cs="Cambria Math"/>
                <w:color w:val="000000"/>
                <w:kern w:val="0"/>
                <w:sz w:val="18"/>
                <w:szCs w:val="18"/>
              </w:rPr>
              <w:t>①</w:t>
            </w:r>
            <w:r>
              <w:rPr>
                <w:rFonts w:hint="default"/>
                <w:color w:val="000000"/>
                <w:kern w:val="0"/>
                <w:sz w:val="18"/>
                <w:szCs w:val="18"/>
              </w:rPr>
              <w:t xml:space="preserve"> </w:t>
            </w:r>
            <w:r>
              <w:rPr>
                <w:rFonts w:hint="eastAsia"/>
                <w:color w:val="000000"/>
                <w:kern w:val="0"/>
                <w:sz w:val="18"/>
                <w:szCs w:val="18"/>
              </w:rPr>
              <w:t>模型≥3种、选型与场景匹配（6）；</w:t>
            </w:r>
            <w:r>
              <w:rPr>
                <w:rFonts w:hint="default" w:ascii="Cambria Math" w:hAnsi="Cambria Math" w:cs="Cambria Math"/>
                <w:color w:val="000000"/>
                <w:kern w:val="0"/>
                <w:sz w:val="18"/>
                <w:szCs w:val="18"/>
              </w:rPr>
              <w:t>②</w:t>
            </w:r>
            <w:r>
              <w:rPr>
                <w:rFonts w:hint="default"/>
                <w:color w:val="000000"/>
                <w:kern w:val="0"/>
                <w:sz w:val="18"/>
                <w:szCs w:val="18"/>
              </w:rPr>
              <w:t xml:space="preserve"> </w:t>
            </w:r>
            <w:r>
              <w:rPr>
                <w:rFonts w:hint="eastAsia"/>
                <w:color w:val="000000"/>
                <w:kern w:val="0"/>
                <w:sz w:val="18"/>
                <w:szCs w:val="18"/>
              </w:rPr>
              <w:t>计算正确、参数与阈值有业务依据（6）；</w:t>
            </w:r>
            <w:r>
              <w:rPr>
                <w:rFonts w:hint="default" w:ascii="Cambria Math" w:hAnsi="Cambria Math" w:cs="Cambria Math"/>
                <w:color w:val="000000"/>
                <w:kern w:val="0"/>
                <w:sz w:val="18"/>
                <w:szCs w:val="18"/>
              </w:rPr>
              <w:t>③</w:t>
            </w:r>
            <w:r>
              <w:rPr>
                <w:rFonts w:hint="default"/>
                <w:color w:val="000000"/>
                <w:kern w:val="0"/>
                <w:sz w:val="18"/>
                <w:szCs w:val="18"/>
              </w:rPr>
              <w:t xml:space="preserve"> </w:t>
            </w:r>
            <w:r>
              <w:rPr>
                <w:rFonts w:hint="eastAsia"/>
                <w:color w:val="000000"/>
                <w:kern w:val="0"/>
                <w:sz w:val="18"/>
                <w:szCs w:val="18"/>
              </w:rPr>
              <w:t>预测类含置信区间与回测误差（4）；</w:t>
            </w:r>
            <w:r>
              <w:rPr>
                <w:rFonts w:hint="default" w:ascii="Cambria Math" w:hAnsi="Cambria Math" w:cs="Cambria Math"/>
                <w:color w:val="000000"/>
                <w:kern w:val="0"/>
                <w:sz w:val="18"/>
                <w:szCs w:val="18"/>
              </w:rPr>
              <w:t>④</w:t>
            </w:r>
            <w:r>
              <w:rPr>
                <w:rFonts w:hint="default"/>
                <w:color w:val="000000"/>
                <w:kern w:val="0"/>
                <w:sz w:val="18"/>
                <w:szCs w:val="18"/>
              </w:rPr>
              <w:t xml:space="preserve"> </w:t>
            </w:r>
            <w:r>
              <w:rPr>
                <w:rFonts w:hint="eastAsia"/>
                <w:color w:val="000000"/>
                <w:kern w:val="0"/>
                <w:sz w:val="18"/>
                <w:szCs w:val="18"/>
              </w:rPr>
              <w:t>结论与模型一一对应（4）</w:t>
            </w:r>
          </w:p>
        </w:tc>
        <w:tc>
          <w:tcPr>
            <w:tcW w:w="488" w:type="pct"/>
            <w:tcBorders>
              <w:top w:val="single" w:color="auto" w:sz="4" w:space="0"/>
              <w:left w:val="single" w:color="auto" w:sz="4" w:space="0"/>
              <w:bottom w:val="single" w:color="auto" w:sz="4" w:space="0"/>
              <w:right w:val="single" w:color="auto" w:sz="4" w:space="0"/>
              <w:tl2br w:val="nil"/>
              <w:tr2bl w:val="nil"/>
            </w:tcBorders>
            <w:noWrap w:val="0"/>
            <w:vAlign w:val="center"/>
          </w:tcPr>
          <w:p w14:paraId="78DEAFB5">
            <w:pPr>
              <w:autoSpaceDE w:val="0"/>
              <w:autoSpaceDN w:val="0"/>
              <w:adjustRightInd w:val="0"/>
              <w:spacing w:beforeLines="0" w:afterLines="0" w:line="240" w:lineRule="auto"/>
              <w:ind w:firstLine="0" w:firstLineChars="0"/>
              <w:jc w:val="center"/>
              <w:rPr>
                <w:rFonts w:hint="eastAsia" w:ascii="宋体" w:cs="宋体"/>
                <w:color w:val="000000"/>
                <w:kern w:val="0"/>
                <w:sz w:val="18"/>
                <w:szCs w:val="18"/>
              </w:rPr>
            </w:pPr>
          </w:p>
        </w:tc>
      </w:tr>
      <w:tr w14:paraId="1126F24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wAfter w:w="0" w:type="dxa"/>
          <w:trHeight w:val="293" w:hRule="atLeast"/>
        </w:trPr>
        <w:tc>
          <w:tcPr>
            <w:tcW w:w="1064" w:type="pct"/>
            <w:tcBorders>
              <w:top w:val="single" w:color="auto" w:sz="4" w:space="0"/>
              <w:left w:val="single" w:color="auto" w:sz="4" w:space="0"/>
              <w:bottom w:val="single" w:color="auto" w:sz="4" w:space="0"/>
              <w:right w:val="single" w:color="auto" w:sz="4" w:space="0"/>
              <w:tl2br w:val="nil"/>
              <w:tr2bl w:val="nil"/>
            </w:tcBorders>
            <w:noWrap w:val="0"/>
            <w:vAlign w:val="center"/>
          </w:tcPr>
          <w:p w14:paraId="653E9108">
            <w:pPr>
              <w:autoSpaceDE w:val="0"/>
              <w:autoSpaceDN w:val="0"/>
              <w:adjustRightInd w:val="0"/>
              <w:spacing w:beforeLines="0" w:afterLines="0" w:line="240" w:lineRule="auto"/>
              <w:ind w:firstLine="0" w:firstLineChars="0"/>
              <w:rPr>
                <w:rFonts w:hint="default"/>
                <w:color w:val="000000"/>
                <w:kern w:val="0"/>
                <w:sz w:val="18"/>
                <w:szCs w:val="18"/>
              </w:rPr>
            </w:pPr>
            <w:r>
              <w:rPr>
                <w:rFonts w:hint="default"/>
                <w:color w:val="000000"/>
                <w:kern w:val="0"/>
                <w:sz w:val="18"/>
                <w:szCs w:val="18"/>
              </w:rPr>
              <w:t xml:space="preserve">3. </w:t>
            </w:r>
            <w:r>
              <w:rPr>
                <w:rFonts w:hint="eastAsia"/>
                <w:color w:val="000000"/>
                <w:kern w:val="0"/>
                <w:sz w:val="18"/>
                <w:szCs w:val="18"/>
              </w:rPr>
              <w:t>可视化复现与大屏质量（25分）</w:t>
            </w:r>
          </w:p>
        </w:tc>
        <w:tc>
          <w:tcPr>
            <w:tcW w:w="3448" w:type="pct"/>
            <w:tcBorders>
              <w:top w:val="single" w:color="auto" w:sz="4" w:space="0"/>
              <w:left w:val="single" w:color="auto" w:sz="4" w:space="0"/>
              <w:bottom w:val="single" w:color="auto" w:sz="4" w:space="0"/>
              <w:right w:val="single" w:color="auto" w:sz="4" w:space="0"/>
              <w:tl2br w:val="nil"/>
              <w:tr2bl w:val="nil"/>
            </w:tcBorders>
            <w:noWrap w:val="0"/>
            <w:vAlign w:val="center"/>
          </w:tcPr>
          <w:p w14:paraId="28BF0B74">
            <w:pPr>
              <w:autoSpaceDE w:val="0"/>
              <w:autoSpaceDN w:val="0"/>
              <w:adjustRightInd w:val="0"/>
              <w:spacing w:beforeLines="0" w:afterLines="0" w:line="240" w:lineRule="auto"/>
              <w:ind w:firstLine="0" w:firstLineChars="0"/>
              <w:rPr>
                <w:rFonts w:hint="default"/>
                <w:color w:val="000000"/>
                <w:kern w:val="0"/>
                <w:sz w:val="18"/>
                <w:szCs w:val="18"/>
              </w:rPr>
            </w:pPr>
            <w:r>
              <w:rPr>
                <w:rFonts w:hint="default" w:ascii="Cambria Math" w:hAnsi="Cambria Math" w:cs="Cambria Math"/>
                <w:color w:val="000000"/>
                <w:kern w:val="0"/>
                <w:sz w:val="18"/>
                <w:szCs w:val="18"/>
              </w:rPr>
              <w:t>①</w:t>
            </w:r>
            <w:r>
              <w:rPr>
                <w:rFonts w:hint="default"/>
                <w:color w:val="000000"/>
                <w:kern w:val="0"/>
                <w:sz w:val="18"/>
                <w:szCs w:val="18"/>
              </w:rPr>
              <w:t xml:space="preserve"> </w:t>
            </w:r>
            <w:r>
              <w:rPr>
                <w:rFonts w:hint="eastAsia"/>
                <w:color w:val="000000"/>
                <w:kern w:val="0"/>
                <w:sz w:val="18"/>
                <w:szCs w:val="18"/>
              </w:rPr>
              <w:t>图表≥10张、类别覆盖全面（6）；</w:t>
            </w:r>
            <w:r>
              <w:rPr>
                <w:rFonts w:hint="default" w:ascii="Cambria Math" w:hAnsi="Cambria Math" w:cs="Cambria Math"/>
                <w:color w:val="000000"/>
                <w:kern w:val="0"/>
                <w:sz w:val="18"/>
                <w:szCs w:val="18"/>
              </w:rPr>
              <w:t>②</w:t>
            </w:r>
            <w:r>
              <w:rPr>
                <w:rFonts w:hint="default"/>
                <w:color w:val="000000"/>
                <w:kern w:val="0"/>
                <w:sz w:val="18"/>
                <w:szCs w:val="18"/>
              </w:rPr>
              <w:t xml:space="preserve"> </w:t>
            </w:r>
            <w:r>
              <w:rPr>
                <w:rFonts w:hint="eastAsia"/>
                <w:color w:val="000000"/>
                <w:kern w:val="0"/>
                <w:sz w:val="18"/>
                <w:szCs w:val="18"/>
              </w:rPr>
              <w:t>模板复现≥10种、风格细节贴近原作（7）；</w:t>
            </w:r>
            <w:r>
              <w:rPr>
                <w:rFonts w:hint="default" w:ascii="Cambria Math" w:hAnsi="Cambria Math" w:cs="Cambria Math"/>
                <w:color w:val="000000"/>
                <w:kern w:val="0"/>
                <w:sz w:val="18"/>
                <w:szCs w:val="18"/>
              </w:rPr>
              <w:t>③</w:t>
            </w:r>
            <w:r>
              <w:rPr>
                <w:rFonts w:hint="default"/>
                <w:color w:val="000000"/>
                <w:kern w:val="0"/>
                <w:sz w:val="18"/>
                <w:szCs w:val="18"/>
              </w:rPr>
              <w:t xml:space="preserve"> </w:t>
            </w:r>
            <w:r>
              <w:rPr>
                <w:rFonts w:hint="eastAsia"/>
                <w:color w:val="000000"/>
                <w:kern w:val="0"/>
                <w:sz w:val="18"/>
                <w:szCs w:val="18"/>
              </w:rPr>
              <w:t>业务模型图≥6张、与模型对应（6）；</w:t>
            </w:r>
            <w:r>
              <w:rPr>
                <w:rFonts w:hint="default" w:ascii="Cambria Math" w:hAnsi="Cambria Math" w:cs="Cambria Math"/>
                <w:color w:val="000000"/>
                <w:kern w:val="0"/>
                <w:sz w:val="18"/>
                <w:szCs w:val="18"/>
              </w:rPr>
              <w:t>④</w:t>
            </w:r>
            <w:r>
              <w:rPr>
                <w:rFonts w:hint="default"/>
                <w:color w:val="000000"/>
                <w:kern w:val="0"/>
                <w:sz w:val="18"/>
                <w:szCs w:val="18"/>
              </w:rPr>
              <w:t xml:space="preserve"> </w:t>
            </w:r>
            <w:r>
              <w:rPr>
                <w:rFonts w:hint="eastAsia"/>
                <w:color w:val="000000"/>
                <w:kern w:val="0"/>
                <w:sz w:val="18"/>
                <w:szCs w:val="18"/>
              </w:rPr>
              <w:t>交互大屏≥1个、组件≥6、有联动/下钻（6）</w:t>
            </w:r>
          </w:p>
        </w:tc>
        <w:tc>
          <w:tcPr>
            <w:tcW w:w="488" w:type="pct"/>
            <w:tcBorders>
              <w:top w:val="single" w:color="auto" w:sz="4" w:space="0"/>
              <w:left w:val="single" w:color="auto" w:sz="4" w:space="0"/>
              <w:bottom w:val="single" w:color="auto" w:sz="4" w:space="0"/>
              <w:right w:val="single" w:color="auto" w:sz="4" w:space="0"/>
              <w:tl2br w:val="nil"/>
              <w:tr2bl w:val="nil"/>
            </w:tcBorders>
            <w:noWrap w:val="0"/>
            <w:vAlign w:val="center"/>
          </w:tcPr>
          <w:p w14:paraId="4D6B8297">
            <w:pPr>
              <w:autoSpaceDE w:val="0"/>
              <w:autoSpaceDN w:val="0"/>
              <w:adjustRightInd w:val="0"/>
              <w:spacing w:beforeLines="0" w:afterLines="0" w:line="240" w:lineRule="auto"/>
              <w:ind w:firstLine="0" w:firstLineChars="0"/>
              <w:jc w:val="center"/>
              <w:rPr>
                <w:rFonts w:hint="eastAsia" w:ascii="宋体" w:cs="宋体"/>
                <w:color w:val="000000"/>
                <w:kern w:val="0"/>
                <w:sz w:val="18"/>
                <w:szCs w:val="18"/>
              </w:rPr>
            </w:pPr>
          </w:p>
        </w:tc>
      </w:tr>
      <w:tr w14:paraId="43F90C9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wAfter w:w="0" w:type="dxa"/>
          <w:trHeight w:val="293" w:hRule="atLeast"/>
        </w:trPr>
        <w:tc>
          <w:tcPr>
            <w:tcW w:w="1064" w:type="pct"/>
            <w:tcBorders>
              <w:top w:val="single" w:color="auto" w:sz="4" w:space="0"/>
              <w:left w:val="single" w:color="auto" w:sz="4" w:space="0"/>
              <w:bottom w:val="single" w:color="auto" w:sz="4" w:space="0"/>
              <w:right w:val="single" w:color="auto" w:sz="4" w:space="0"/>
              <w:tl2br w:val="nil"/>
              <w:tr2bl w:val="nil"/>
            </w:tcBorders>
            <w:noWrap w:val="0"/>
            <w:vAlign w:val="center"/>
          </w:tcPr>
          <w:p w14:paraId="33C8A415">
            <w:pPr>
              <w:autoSpaceDE w:val="0"/>
              <w:autoSpaceDN w:val="0"/>
              <w:adjustRightInd w:val="0"/>
              <w:spacing w:beforeLines="0" w:afterLines="0" w:line="240" w:lineRule="auto"/>
              <w:ind w:firstLine="0" w:firstLineChars="0"/>
              <w:rPr>
                <w:rFonts w:hint="default"/>
                <w:color w:val="000000"/>
                <w:kern w:val="0"/>
                <w:sz w:val="18"/>
                <w:szCs w:val="18"/>
              </w:rPr>
            </w:pPr>
            <w:r>
              <w:rPr>
                <w:rFonts w:hint="default"/>
                <w:color w:val="000000"/>
                <w:kern w:val="0"/>
                <w:sz w:val="18"/>
                <w:szCs w:val="18"/>
              </w:rPr>
              <w:t xml:space="preserve">4. </w:t>
            </w:r>
            <w:r>
              <w:rPr>
                <w:rFonts w:hint="eastAsia"/>
                <w:color w:val="000000"/>
                <w:kern w:val="0"/>
                <w:sz w:val="18"/>
                <w:szCs w:val="18"/>
              </w:rPr>
              <w:t>代码规范性与文档完整性（10分）</w:t>
            </w:r>
          </w:p>
        </w:tc>
        <w:tc>
          <w:tcPr>
            <w:tcW w:w="3448" w:type="pct"/>
            <w:tcBorders>
              <w:top w:val="single" w:color="auto" w:sz="4" w:space="0"/>
              <w:left w:val="single" w:color="auto" w:sz="4" w:space="0"/>
              <w:bottom w:val="single" w:color="auto" w:sz="4" w:space="0"/>
              <w:right w:val="single" w:color="auto" w:sz="4" w:space="0"/>
              <w:tl2br w:val="nil"/>
              <w:tr2bl w:val="nil"/>
            </w:tcBorders>
            <w:noWrap w:val="0"/>
            <w:vAlign w:val="center"/>
          </w:tcPr>
          <w:p w14:paraId="2EBFA71E">
            <w:pPr>
              <w:autoSpaceDE w:val="0"/>
              <w:autoSpaceDN w:val="0"/>
              <w:adjustRightInd w:val="0"/>
              <w:spacing w:beforeLines="0" w:afterLines="0" w:line="240" w:lineRule="auto"/>
              <w:ind w:firstLine="0" w:firstLineChars="0"/>
              <w:rPr>
                <w:rFonts w:hint="default"/>
                <w:color w:val="000000"/>
                <w:kern w:val="0"/>
                <w:sz w:val="18"/>
                <w:szCs w:val="18"/>
              </w:rPr>
            </w:pPr>
            <w:r>
              <w:rPr>
                <w:rFonts w:hint="default" w:ascii="Cambria Math" w:hAnsi="Cambria Math" w:cs="Cambria Math"/>
                <w:color w:val="000000"/>
                <w:kern w:val="0"/>
                <w:sz w:val="18"/>
                <w:szCs w:val="18"/>
              </w:rPr>
              <w:t>①</w:t>
            </w:r>
            <w:r>
              <w:rPr>
                <w:rFonts w:hint="default"/>
                <w:color w:val="000000"/>
                <w:kern w:val="0"/>
                <w:sz w:val="18"/>
                <w:szCs w:val="18"/>
              </w:rPr>
              <w:t xml:space="preserve"> </w:t>
            </w:r>
            <w:r>
              <w:rPr>
                <w:rFonts w:hint="eastAsia"/>
                <w:color w:val="000000"/>
                <w:kern w:val="0"/>
                <w:sz w:val="18"/>
                <w:szCs w:val="18"/>
              </w:rPr>
              <w:t>目录结构清晰、注释充分（3）；</w:t>
            </w:r>
            <w:r>
              <w:rPr>
                <w:rFonts w:hint="default" w:ascii="Cambria Math" w:hAnsi="Cambria Math" w:cs="Cambria Math"/>
                <w:color w:val="000000"/>
                <w:kern w:val="0"/>
                <w:sz w:val="18"/>
                <w:szCs w:val="18"/>
              </w:rPr>
              <w:t>②</w:t>
            </w:r>
            <w:r>
              <w:rPr>
                <w:rFonts w:hint="default"/>
                <w:color w:val="000000"/>
                <w:kern w:val="0"/>
                <w:sz w:val="18"/>
                <w:szCs w:val="18"/>
              </w:rPr>
              <w:t xml:space="preserve"> README </w:t>
            </w:r>
            <w:r>
              <w:rPr>
                <w:rFonts w:hint="eastAsia"/>
                <w:color w:val="000000"/>
                <w:kern w:val="0"/>
                <w:sz w:val="18"/>
                <w:szCs w:val="18"/>
              </w:rPr>
              <w:t>详实、依赖明确（3）；</w:t>
            </w:r>
            <w:r>
              <w:rPr>
                <w:rFonts w:hint="default" w:ascii="Cambria Math" w:hAnsi="Cambria Math" w:cs="Cambria Math"/>
                <w:color w:val="000000"/>
                <w:kern w:val="0"/>
                <w:sz w:val="18"/>
                <w:szCs w:val="18"/>
              </w:rPr>
              <w:t>③</w:t>
            </w:r>
            <w:r>
              <w:rPr>
                <w:rFonts w:hint="default"/>
                <w:color w:val="000000"/>
                <w:kern w:val="0"/>
                <w:sz w:val="18"/>
                <w:szCs w:val="18"/>
              </w:rPr>
              <w:t xml:space="preserve"> </w:t>
            </w:r>
            <w:r>
              <w:rPr>
                <w:rFonts w:hint="eastAsia"/>
                <w:color w:val="000000"/>
                <w:kern w:val="0"/>
                <w:sz w:val="18"/>
                <w:szCs w:val="18"/>
              </w:rPr>
              <w:t>可一键复现（2）；</w:t>
            </w:r>
            <w:r>
              <w:rPr>
                <w:rFonts w:hint="default" w:ascii="Cambria Math" w:hAnsi="Cambria Math" w:cs="Cambria Math"/>
                <w:color w:val="000000"/>
                <w:kern w:val="0"/>
                <w:sz w:val="18"/>
                <w:szCs w:val="18"/>
              </w:rPr>
              <w:t>④</w:t>
            </w:r>
            <w:r>
              <w:rPr>
                <w:rFonts w:hint="default"/>
                <w:color w:val="000000"/>
                <w:kern w:val="0"/>
                <w:sz w:val="18"/>
                <w:szCs w:val="18"/>
              </w:rPr>
              <w:t xml:space="preserve"> </w:t>
            </w:r>
            <w:r>
              <w:rPr>
                <w:rFonts w:hint="eastAsia"/>
                <w:color w:val="000000"/>
                <w:kern w:val="0"/>
                <w:sz w:val="18"/>
                <w:szCs w:val="18"/>
              </w:rPr>
              <w:t>图表命名与索引规范（2）</w:t>
            </w:r>
          </w:p>
        </w:tc>
        <w:tc>
          <w:tcPr>
            <w:tcW w:w="488" w:type="pct"/>
            <w:tcBorders>
              <w:top w:val="single" w:color="auto" w:sz="4" w:space="0"/>
              <w:left w:val="single" w:color="auto" w:sz="4" w:space="0"/>
              <w:bottom w:val="single" w:color="auto" w:sz="4" w:space="0"/>
              <w:right w:val="single" w:color="auto" w:sz="4" w:space="0"/>
              <w:tl2br w:val="nil"/>
              <w:tr2bl w:val="nil"/>
            </w:tcBorders>
            <w:noWrap w:val="0"/>
            <w:vAlign w:val="center"/>
          </w:tcPr>
          <w:p w14:paraId="7FA3FF74">
            <w:pPr>
              <w:autoSpaceDE w:val="0"/>
              <w:autoSpaceDN w:val="0"/>
              <w:adjustRightInd w:val="0"/>
              <w:spacing w:beforeLines="0" w:afterLines="0" w:line="240" w:lineRule="auto"/>
              <w:ind w:firstLine="0" w:firstLineChars="0"/>
              <w:jc w:val="center"/>
              <w:rPr>
                <w:rFonts w:hint="eastAsia" w:ascii="宋体" w:cs="宋体"/>
                <w:color w:val="000000"/>
                <w:kern w:val="0"/>
                <w:sz w:val="18"/>
                <w:szCs w:val="18"/>
              </w:rPr>
            </w:pPr>
          </w:p>
        </w:tc>
      </w:tr>
      <w:tr w14:paraId="0391058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wAfter w:w="0" w:type="dxa"/>
          <w:trHeight w:val="293" w:hRule="atLeast"/>
        </w:trPr>
        <w:tc>
          <w:tcPr>
            <w:tcW w:w="1064" w:type="pct"/>
            <w:tcBorders>
              <w:top w:val="single" w:color="auto" w:sz="4" w:space="0"/>
              <w:left w:val="single" w:color="auto" w:sz="4" w:space="0"/>
              <w:bottom w:val="single" w:color="auto" w:sz="4" w:space="0"/>
              <w:right w:val="single" w:color="auto" w:sz="4" w:space="0"/>
              <w:tl2br w:val="nil"/>
              <w:tr2bl w:val="nil"/>
            </w:tcBorders>
            <w:noWrap w:val="0"/>
            <w:vAlign w:val="center"/>
          </w:tcPr>
          <w:p w14:paraId="21B910DE">
            <w:pPr>
              <w:autoSpaceDE w:val="0"/>
              <w:autoSpaceDN w:val="0"/>
              <w:adjustRightInd w:val="0"/>
              <w:spacing w:beforeLines="0" w:afterLines="0" w:line="240" w:lineRule="auto"/>
              <w:ind w:firstLine="0" w:firstLineChars="0"/>
              <w:rPr>
                <w:rFonts w:hint="default"/>
                <w:color w:val="000000"/>
                <w:kern w:val="0"/>
                <w:sz w:val="18"/>
                <w:szCs w:val="18"/>
              </w:rPr>
            </w:pPr>
            <w:r>
              <w:rPr>
                <w:rFonts w:hint="default"/>
                <w:color w:val="000000"/>
                <w:kern w:val="0"/>
                <w:sz w:val="18"/>
                <w:szCs w:val="18"/>
              </w:rPr>
              <w:t xml:space="preserve">5. </w:t>
            </w:r>
            <w:r>
              <w:rPr>
                <w:rFonts w:hint="eastAsia"/>
                <w:color w:val="000000"/>
                <w:kern w:val="0"/>
                <w:sz w:val="18"/>
                <w:szCs w:val="18"/>
              </w:rPr>
              <w:t>期末大论文质量（25分）</w:t>
            </w:r>
          </w:p>
        </w:tc>
        <w:tc>
          <w:tcPr>
            <w:tcW w:w="3448" w:type="pct"/>
            <w:tcBorders>
              <w:top w:val="single" w:color="auto" w:sz="4" w:space="0"/>
              <w:left w:val="single" w:color="auto" w:sz="4" w:space="0"/>
              <w:bottom w:val="single" w:color="auto" w:sz="4" w:space="0"/>
              <w:right w:val="single" w:color="auto" w:sz="4" w:space="0"/>
              <w:tl2br w:val="nil"/>
              <w:tr2bl w:val="nil"/>
            </w:tcBorders>
            <w:noWrap w:val="0"/>
            <w:vAlign w:val="center"/>
          </w:tcPr>
          <w:p w14:paraId="3CF66D37">
            <w:pPr>
              <w:autoSpaceDE w:val="0"/>
              <w:autoSpaceDN w:val="0"/>
              <w:adjustRightInd w:val="0"/>
              <w:spacing w:beforeLines="0" w:afterLines="0" w:line="240" w:lineRule="auto"/>
              <w:ind w:firstLine="0" w:firstLineChars="0"/>
              <w:rPr>
                <w:rFonts w:hint="default"/>
                <w:color w:val="000000"/>
                <w:kern w:val="0"/>
                <w:sz w:val="18"/>
                <w:szCs w:val="18"/>
              </w:rPr>
            </w:pPr>
            <w:r>
              <w:rPr>
                <w:rFonts w:hint="default" w:ascii="Cambria Math" w:hAnsi="Cambria Math" w:cs="Cambria Math"/>
                <w:color w:val="000000"/>
                <w:kern w:val="0"/>
                <w:sz w:val="18"/>
                <w:szCs w:val="18"/>
              </w:rPr>
              <w:t>①</w:t>
            </w:r>
            <w:r>
              <w:rPr>
                <w:rFonts w:hint="default"/>
                <w:color w:val="000000"/>
                <w:kern w:val="0"/>
                <w:sz w:val="18"/>
                <w:szCs w:val="18"/>
              </w:rPr>
              <w:t xml:space="preserve"> </w:t>
            </w:r>
            <w:r>
              <w:rPr>
                <w:rFonts w:hint="eastAsia"/>
                <w:color w:val="000000"/>
                <w:kern w:val="0"/>
                <w:sz w:val="18"/>
                <w:szCs w:val="18"/>
              </w:rPr>
              <w:t>题目创新性与针对性（4）；</w:t>
            </w:r>
            <w:r>
              <w:rPr>
                <w:rFonts w:hint="default" w:ascii="Cambria Math" w:hAnsi="Cambria Math" w:cs="Cambria Math"/>
                <w:color w:val="000000"/>
                <w:kern w:val="0"/>
                <w:sz w:val="18"/>
                <w:szCs w:val="18"/>
              </w:rPr>
              <w:t>②</w:t>
            </w:r>
            <w:r>
              <w:rPr>
                <w:rFonts w:hint="default"/>
                <w:color w:val="000000"/>
                <w:kern w:val="0"/>
                <w:sz w:val="18"/>
                <w:szCs w:val="18"/>
              </w:rPr>
              <w:t xml:space="preserve"> </w:t>
            </w:r>
            <w:r>
              <w:rPr>
                <w:rFonts w:hint="eastAsia"/>
                <w:color w:val="000000"/>
                <w:kern w:val="0"/>
                <w:sz w:val="18"/>
                <w:szCs w:val="18"/>
              </w:rPr>
              <w:t>摘要概括性、关键词相关性（4）；</w:t>
            </w:r>
            <w:r>
              <w:rPr>
                <w:rFonts w:hint="default" w:ascii="Cambria Math" w:hAnsi="Cambria Math" w:cs="Cambria Math"/>
                <w:color w:val="000000"/>
                <w:kern w:val="0"/>
                <w:sz w:val="18"/>
                <w:szCs w:val="18"/>
              </w:rPr>
              <w:t>③</w:t>
            </w:r>
            <w:r>
              <w:rPr>
                <w:rFonts w:hint="default"/>
                <w:color w:val="000000"/>
                <w:kern w:val="0"/>
                <w:sz w:val="18"/>
                <w:szCs w:val="18"/>
              </w:rPr>
              <w:t xml:space="preserve"> </w:t>
            </w:r>
            <w:r>
              <w:rPr>
                <w:rFonts w:hint="eastAsia"/>
                <w:color w:val="000000"/>
                <w:kern w:val="0"/>
                <w:sz w:val="18"/>
                <w:szCs w:val="18"/>
              </w:rPr>
              <w:t>正文逻辑性与技术深度（10）；</w:t>
            </w:r>
            <w:r>
              <w:rPr>
                <w:rFonts w:hint="default" w:ascii="Cambria Math" w:hAnsi="Cambria Math" w:cs="Cambria Math"/>
                <w:color w:val="000000"/>
                <w:kern w:val="0"/>
                <w:sz w:val="18"/>
                <w:szCs w:val="18"/>
              </w:rPr>
              <w:t>④</w:t>
            </w:r>
            <w:r>
              <w:rPr>
                <w:rFonts w:hint="default"/>
                <w:color w:val="000000"/>
                <w:kern w:val="0"/>
                <w:sz w:val="18"/>
                <w:szCs w:val="18"/>
              </w:rPr>
              <w:t xml:space="preserve"> </w:t>
            </w:r>
            <w:r>
              <w:rPr>
                <w:rFonts w:hint="eastAsia"/>
                <w:color w:val="000000"/>
                <w:kern w:val="0"/>
                <w:sz w:val="18"/>
                <w:szCs w:val="18"/>
              </w:rPr>
              <w:t>商业建议可行性与数据支撑（7）</w:t>
            </w:r>
          </w:p>
        </w:tc>
        <w:tc>
          <w:tcPr>
            <w:tcW w:w="488" w:type="pct"/>
            <w:tcBorders>
              <w:top w:val="single" w:color="auto" w:sz="4" w:space="0"/>
              <w:left w:val="single" w:color="auto" w:sz="4" w:space="0"/>
              <w:bottom w:val="single" w:color="auto" w:sz="4" w:space="0"/>
              <w:right w:val="single" w:color="auto" w:sz="4" w:space="0"/>
              <w:tl2br w:val="nil"/>
              <w:tr2bl w:val="nil"/>
            </w:tcBorders>
            <w:noWrap w:val="0"/>
            <w:vAlign w:val="center"/>
          </w:tcPr>
          <w:p w14:paraId="5B84D129">
            <w:pPr>
              <w:autoSpaceDE w:val="0"/>
              <w:autoSpaceDN w:val="0"/>
              <w:adjustRightInd w:val="0"/>
              <w:spacing w:beforeLines="0" w:afterLines="0" w:line="240" w:lineRule="auto"/>
              <w:ind w:firstLine="0" w:firstLineChars="0"/>
              <w:jc w:val="center"/>
              <w:rPr>
                <w:rFonts w:hint="eastAsia" w:ascii="宋体" w:cs="宋体"/>
                <w:color w:val="000000"/>
                <w:kern w:val="0"/>
                <w:sz w:val="18"/>
                <w:szCs w:val="18"/>
              </w:rPr>
            </w:pPr>
          </w:p>
        </w:tc>
      </w:tr>
      <w:tr w14:paraId="62273F5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wAfter w:w="0" w:type="dxa"/>
          <w:trHeight w:val="293" w:hRule="atLeast"/>
        </w:trPr>
        <w:tc>
          <w:tcPr>
            <w:tcW w:w="1064" w:type="pct"/>
            <w:tcBorders>
              <w:top w:val="single" w:color="auto" w:sz="4" w:space="0"/>
              <w:left w:val="single" w:color="auto" w:sz="4" w:space="0"/>
              <w:bottom w:val="single" w:color="auto" w:sz="4" w:space="0"/>
              <w:right w:val="single" w:color="auto" w:sz="4" w:space="0"/>
              <w:tl2br w:val="nil"/>
              <w:tr2bl w:val="nil"/>
            </w:tcBorders>
            <w:noWrap w:val="0"/>
            <w:vAlign w:val="center"/>
          </w:tcPr>
          <w:p w14:paraId="19B926BB">
            <w:pPr>
              <w:autoSpaceDE w:val="0"/>
              <w:autoSpaceDN w:val="0"/>
              <w:adjustRightInd w:val="0"/>
              <w:spacing w:beforeLines="0" w:afterLines="0" w:line="240" w:lineRule="auto"/>
              <w:ind w:firstLine="0" w:firstLineChars="0"/>
              <w:rPr>
                <w:rFonts w:hint="default"/>
                <w:color w:val="000000"/>
                <w:kern w:val="0"/>
                <w:sz w:val="18"/>
                <w:szCs w:val="18"/>
              </w:rPr>
            </w:pPr>
            <w:r>
              <w:rPr>
                <w:rFonts w:hint="default"/>
                <w:color w:val="000000"/>
                <w:kern w:val="0"/>
                <w:sz w:val="18"/>
                <w:szCs w:val="18"/>
              </w:rPr>
              <w:t xml:space="preserve">6. </w:t>
            </w:r>
            <w:r>
              <w:rPr>
                <w:rFonts w:hint="eastAsia"/>
                <w:color w:val="000000"/>
                <w:kern w:val="0"/>
                <w:sz w:val="18"/>
                <w:szCs w:val="18"/>
              </w:rPr>
              <w:t>创新性与商业洞察深度（5分）</w:t>
            </w:r>
          </w:p>
        </w:tc>
        <w:tc>
          <w:tcPr>
            <w:tcW w:w="3448" w:type="pct"/>
            <w:tcBorders>
              <w:top w:val="single" w:color="auto" w:sz="4" w:space="0"/>
              <w:left w:val="single" w:color="auto" w:sz="4" w:space="0"/>
              <w:bottom w:val="single" w:color="auto" w:sz="4" w:space="0"/>
              <w:right w:val="single" w:color="auto" w:sz="4" w:space="0"/>
              <w:tl2br w:val="nil"/>
              <w:tr2bl w:val="nil"/>
            </w:tcBorders>
            <w:noWrap w:val="0"/>
            <w:vAlign w:val="center"/>
          </w:tcPr>
          <w:p w14:paraId="73AC3B97">
            <w:pPr>
              <w:autoSpaceDE w:val="0"/>
              <w:autoSpaceDN w:val="0"/>
              <w:adjustRightInd w:val="0"/>
              <w:spacing w:beforeLines="0" w:afterLines="0" w:line="240" w:lineRule="auto"/>
              <w:ind w:firstLine="0" w:firstLineChars="0"/>
              <w:rPr>
                <w:rFonts w:hint="default"/>
                <w:color w:val="000000"/>
                <w:kern w:val="0"/>
                <w:sz w:val="18"/>
                <w:szCs w:val="18"/>
              </w:rPr>
            </w:pPr>
            <w:r>
              <w:rPr>
                <w:rFonts w:hint="default" w:ascii="Cambria Math" w:hAnsi="Cambria Math" w:cs="Cambria Math"/>
                <w:color w:val="000000"/>
                <w:kern w:val="0"/>
                <w:sz w:val="18"/>
                <w:szCs w:val="18"/>
              </w:rPr>
              <w:t>①</w:t>
            </w:r>
            <w:r>
              <w:rPr>
                <w:rFonts w:hint="default"/>
                <w:color w:val="000000"/>
                <w:kern w:val="0"/>
                <w:sz w:val="18"/>
                <w:szCs w:val="18"/>
              </w:rPr>
              <w:t xml:space="preserve"> </w:t>
            </w:r>
            <w:r>
              <w:rPr>
                <w:rFonts w:hint="eastAsia"/>
                <w:color w:val="000000"/>
                <w:kern w:val="0"/>
                <w:sz w:val="18"/>
                <w:szCs w:val="18"/>
              </w:rPr>
              <w:t>引入新工具/新方法（2）；</w:t>
            </w:r>
            <w:r>
              <w:rPr>
                <w:rFonts w:hint="default" w:ascii="Cambria Math" w:hAnsi="Cambria Math" w:cs="Cambria Math"/>
                <w:color w:val="000000"/>
                <w:kern w:val="0"/>
                <w:sz w:val="18"/>
                <w:szCs w:val="18"/>
              </w:rPr>
              <w:t>②</w:t>
            </w:r>
            <w:r>
              <w:rPr>
                <w:rFonts w:hint="default"/>
                <w:color w:val="000000"/>
                <w:kern w:val="0"/>
                <w:sz w:val="18"/>
                <w:szCs w:val="18"/>
              </w:rPr>
              <w:t xml:space="preserve"> </w:t>
            </w:r>
            <w:r>
              <w:rPr>
                <w:rFonts w:hint="eastAsia"/>
                <w:color w:val="000000"/>
                <w:kern w:val="0"/>
                <w:sz w:val="18"/>
                <w:szCs w:val="18"/>
              </w:rPr>
              <w:t>提出有效商业建议（2）；</w:t>
            </w:r>
            <w:r>
              <w:rPr>
                <w:rFonts w:hint="default" w:ascii="Cambria Math" w:hAnsi="Cambria Math" w:cs="Cambria Math"/>
                <w:color w:val="000000"/>
                <w:kern w:val="0"/>
                <w:sz w:val="18"/>
                <w:szCs w:val="18"/>
              </w:rPr>
              <w:t>③</w:t>
            </w:r>
            <w:r>
              <w:rPr>
                <w:rFonts w:hint="default"/>
                <w:color w:val="000000"/>
                <w:kern w:val="0"/>
                <w:sz w:val="18"/>
                <w:szCs w:val="18"/>
              </w:rPr>
              <w:t xml:space="preserve"> </w:t>
            </w:r>
            <w:r>
              <w:rPr>
                <w:rFonts w:hint="eastAsia"/>
                <w:color w:val="000000"/>
                <w:kern w:val="0"/>
                <w:sz w:val="18"/>
                <w:szCs w:val="18"/>
              </w:rPr>
              <w:t>体现批判性思维（1）</w:t>
            </w:r>
          </w:p>
        </w:tc>
        <w:tc>
          <w:tcPr>
            <w:tcW w:w="488" w:type="pct"/>
            <w:tcBorders>
              <w:top w:val="single" w:color="auto" w:sz="4" w:space="0"/>
              <w:left w:val="single" w:color="auto" w:sz="4" w:space="0"/>
              <w:bottom w:val="single" w:color="auto" w:sz="4" w:space="0"/>
              <w:right w:val="single" w:color="auto" w:sz="4" w:space="0"/>
              <w:tl2br w:val="nil"/>
              <w:tr2bl w:val="nil"/>
            </w:tcBorders>
            <w:noWrap w:val="0"/>
            <w:vAlign w:val="center"/>
          </w:tcPr>
          <w:p w14:paraId="18E650C2">
            <w:pPr>
              <w:autoSpaceDE w:val="0"/>
              <w:autoSpaceDN w:val="0"/>
              <w:adjustRightInd w:val="0"/>
              <w:spacing w:beforeLines="0" w:afterLines="0" w:line="240" w:lineRule="auto"/>
              <w:ind w:firstLine="0" w:firstLineChars="0"/>
              <w:jc w:val="center"/>
              <w:rPr>
                <w:rFonts w:hint="eastAsia" w:ascii="宋体" w:cs="宋体"/>
                <w:color w:val="000000"/>
                <w:kern w:val="0"/>
                <w:sz w:val="18"/>
                <w:szCs w:val="18"/>
              </w:rPr>
            </w:pPr>
          </w:p>
        </w:tc>
      </w:tr>
      <w:tr w14:paraId="74E73B4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wAfter w:w="0" w:type="dxa"/>
          <w:trHeight w:val="64" w:hRule="atLeast"/>
        </w:trPr>
        <w:tc>
          <w:tcPr>
            <w:tcW w:w="1064" w:type="pct"/>
            <w:tcBorders>
              <w:top w:val="single" w:color="auto" w:sz="4" w:space="0"/>
              <w:left w:val="single" w:color="auto" w:sz="4" w:space="0"/>
              <w:bottom w:val="single" w:color="auto" w:sz="4" w:space="0"/>
              <w:right w:val="single" w:color="auto" w:sz="4" w:space="0"/>
              <w:tl2br w:val="nil"/>
              <w:tr2bl w:val="nil"/>
            </w:tcBorders>
            <w:noWrap w:val="0"/>
            <w:vAlign w:val="center"/>
          </w:tcPr>
          <w:p w14:paraId="1AB204B6">
            <w:pPr>
              <w:autoSpaceDE w:val="0"/>
              <w:autoSpaceDN w:val="0"/>
              <w:adjustRightInd w:val="0"/>
              <w:spacing w:beforeLines="0" w:afterLines="0" w:line="240" w:lineRule="auto"/>
              <w:ind w:firstLine="0" w:firstLineChars="0"/>
              <w:jc w:val="center"/>
              <w:rPr>
                <w:rFonts w:hint="default"/>
                <w:b/>
                <w:color w:val="000000"/>
                <w:kern w:val="0"/>
                <w:sz w:val="20"/>
                <w:szCs w:val="20"/>
              </w:rPr>
            </w:pPr>
            <w:r>
              <w:rPr>
                <w:rFonts w:hint="eastAsia"/>
                <w:b/>
                <w:color w:val="000000"/>
                <w:kern w:val="0"/>
                <w:sz w:val="20"/>
                <w:szCs w:val="20"/>
              </w:rPr>
              <w:t>总 分</w:t>
            </w:r>
          </w:p>
        </w:tc>
        <w:tc>
          <w:tcPr>
            <w:tcW w:w="3448" w:type="pct"/>
            <w:tcBorders>
              <w:top w:val="single" w:color="auto" w:sz="4" w:space="0"/>
              <w:left w:val="single" w:color="auto" w:sz="4" w:space="0"/>
              <w:bottom w:val="single" w:color="auto" w:sz="4" w:space="0"/>
              <w:right w:val="single" w:color="auto" w:sz="4" w:space="0"/>
              <w:tl2br w:val="nil"/>
              <w:tr2bl w:val="nil"/>
            </w:tcBorders>
            <w:noWrap w:val="0"/>
            <w:vAlign w:val="center"/>
          </w:tcPr>
          <w:p w14:paraId="0852FB63">
            <w:pPr>
              <w:autoSpaceDE w:val="0"/>
              <w:autoSpaceDN w:val="0"/>
              <w:adjustRightInd w:val="0"/>
              <w:spacing w:beforeLines="0" w:afterLines="0" w:line="240" w:lineRule="auto"/>
              <w:ind w:firstLine="0" w:firstLineChars="0"/>
              <w:jc w:val="center"/>
              <w:rPr>
                <w:rFonts w:hint="default"/>
                <w:b/>
                <w:color w:val="000000"/>
                <w:kern w:val="0"/>
                <w:sz w:val="20"/>
                <w:szCs w:val="20"/>
              </w:rPr>
            </w:pPr>
            <w:r>
              <w:rPr>
                <w:rFonts w:hint="eastAsia"/>
                <w:b/>
                <w:color w:val="000000"/>
                <w:kern w:val="0"/>
                <w:sz w:val="20"/>
                <w:szCs w:val="20"/>
              </w:rPr>
              <w:t>（各维度得分相加）</w:t>
            </w:r>
          </w:p>
        </w:tc>
        <w:tc>
          <w:tcPr>
            <w:tcW w:w="488" w:type="pct"/>
            <w:tcBorders>
              <w:top w:val="single" w:color="auto" w:sz="4" w:space="0"/>
              <w:left w:val="single" w:color="auto" w:sz="4" w:space="0"/>
              <w:bottom w:val="single" w:color="auto" w:sz="4" w:space="0"/>
              <w:right w:val="single" w:color="auto" w:sz="4" w:space="0"/>
              <w:tl2br w:val="nil"/>
              <w:tr2bl w:val="nil"/>
            </w:tcBorders>
            <w:noWrap w:val="0"/>
            <w:vAlign w:val="center"/>
          </w:tcPr>
          <w:p w14:paraId="7F6E32CB">
            <w:pPr>
              <w:autoSpaceDE w:val="0"/>
              <w:autoSpaceDN w:val="0"/>
              <w:adjustRightInd w:val="0"/>
              <w:spacing w:beforeLines="0" w:afterLines="0" w:line="240" w:lineRule="auto"/>
              <w:ind w:firstLine="0" w:firstLineChars="0"/>
              <w:jc w:val="center"/>
              <w:rPr>
                <w:rFonts w:hint="eastAsia" w:ascii="宋体" w:cs="宋体"/>
                <w:b/>
                <w:color w:val="000000"/>
                <w:kern w:val="0"/>
                <w:sz w:val="18"/>
                <w:szCs w:val="18"/>
              </w:rPr>
            </w:pPr>
          </w:p>
        </w:tc>
      </w:tr>
    </w:tbl>
    <w:p w14:paraId="7A55F8A8">
      <w:pPr>
        <w:spacing w:beforeLines="0" w:afterLines="0"/>
        <w:ind w:firstLine="0" w:firstLineChars="0"/>
        <w:jc w:val="center"/>
        <w:rPr>
          <w:rFonts w:hint="default" w:eastAsia="黑体"/>
          <w:sz w:val="32"/>
          <w:szCs w:val="24"/>
        </w:rPr>
      </w:pPr>
      <w:r>
        <w:rPr>
          <w:rFonts w:hint="eastAsia"/>
          <w:sz w:val="28"/>
          <w:szCs w:val="28"/>
        </w:rPr>
        <w:t>数 据 科 学 学 院</w:t>
      </w:r>
    </w:p>
    <w:p w14:paraId="56AB496C">
      <w:pPr>
        <w:spacing w:beforeLines="0" w:afterLines="0"/>
        <w:ind w:firstLine="0" w:firstLineChars="0"/>
        <w:jc w:val="center"/>
        <w:rPr>
          <w:rFonts w:hint="default" w:eastAsia="黑体"/>
          <w:sz w:val="32"/>
          <w:szCs w:val="24"/>
        </w:rPr>
        <w:sectPr>
          <w:headerReference r:id="rId6" w:type="first"/>
          <w:footerReference r:id="rId8" w:type="first"/>
          <w:headerReference r:id="rId5" w:type="default"/>
          <w:footerReference r:id="rId7" w:type="default"/>
          <w:pgSz w:w="11906" w:h="16838"/>
          <w:pgMar w:top="1418" w:right="1418" w:bottom="1418" w:left="1559" w:header="851" w:footer="851" w:gutter="284"/>
          <w:lnNumType w:countBy="0" w:distance="360"/>
          <w:pgNumType w:start="1"/>
          <w:cols w:space="720" w:num="1"/>
          <w:titlePg/>
          <w:docGrid w:type="lines" w:linePitch="312" w:charSpace="0"/>
        </w:sectPr>
      </w:pPr>
    </w:p>
    <w:p w14:paraId="701FDDC4">
      <w:pPr>
        <w:spacing w:before="0" w:after="120" w:line="360" w:lineRule="auto"/>
        <w:jc w:val="center"/>
      </w:pPr>
      <w:r>
        <w:rPr>
          <w:rFonts w:ascii="黑体" w:hAnsi="黑体" w:eastAsia="黑体"/>
          <w:b/>
          <w:sz w:val="32"/>
        </w:rPr>
        <w:t>纽约Airbnb民宿定价与房源特征可视化分析</w:t>
      </w:r>
    </w:p>
    <w:p w14:paraId="26FE844F">
      <w:pPr>
        <w:spacing w:before="0" w:after="0" w:line="360" w:lineRule="auto"/>
        <w:jc w:val="center"/>
      </w:pPr>
      <w:r>
        <w:rPr>
          <w:rFonts w:ascii="宋体" w:hAnsi="宋体" w:eastAsia="宋体"/>
          <w:b w:val="0"/>
          <w:sz w:val="21"/>
        </w:rPr>
        <w:t>（学生姓名）</w:t>
      </w:r>
    </w:p>
    <w:p w14:paraId="766A2F93">
      <w:pPr>
        <w:spacing w:before="0" w:after="120" w:line="360" w:lineRule="auto"/>
        <w:jc w:val="center"/>
      </w:pPr>
      <w:r>
        <w:rPr>
          <w:rFonts w:ascii="宋体" w:hAnsi="宋体" w:eastAsia="宋体"/>
          <w:b w:val="0"/>
          <w:sz w:val="21"/>
        </w:rPr>
        <w:t>（嘉兴大学 数据科学学院）</w:t>
      </w:r>
    </w:p>
    <w:p w14:paraId="6986BC2E">
      <w:pPr>
        <w:spacing w:before="0" w:after="0" w:line="360" w:lineRule="auto"/>
        <w:ind w:firstLine="560"/>
      </w:pPr>
      <w:r>
        <w:rPr>
          <w:rFonts w:ascii="黑体" w:hAnsi="黑体" w:eastAsia="黑体"/>
          <w:b/>
          <w:sz w:val="28"/>
        </w:rPr>
        <w:t>摘要：</w:t>
      </w:r>
      <w:r>
        <w:rPr>
          <w:rFonts w:ascii="宋体" w:hAnsi="宋体" w:eastAsia="宋体"/>
          <w:b w:val="0"/>
          <w:sz w:val="24"/>
        </w:rPr>
        <w:t>本文以纽约Airbnb民宿公开数据为研究对象，围绕房源定价与房源特征展开可视化分析。数据来源于Inside Airbnb开放数据集，经清洗后保留约19,203条房源记录，覆盖5个行政区与多种房型。研究综合运用K-Means聚类、随机森林回归、RFM客户价值分层、帕累托ABC分类与月度时序趋势五种商业分析模型，并基于Python复现12种图表模板、绘制7张业务模型图并搭建交互式数据大屏。结果表明：曼哈顿与布鲁克林房源密度最高，房型与行政区对价格影响显著，超级房东在评分与出租率上明显占优。本文最终提出5条运营优化建议，可为房东定价与平台运营提供决策参考。</w:t>
      </w:r>
    </w:p>
    <w:p w14:paraId="7AE9E9CD">
      <w:pPr>
        <w:spacing w:before="0" w:after="0" w:line="360" w:lineRule="auto"/>
        <w:ind w:firstLine="560"/>
      </w:pPr>
      <w:r>
        <w:rPr>
          <w:rFonts w:ascii="黑体" w:hAnsi="黑体" w:eastAsia="黑体"/>
          <w:b/>
          <w:sz w:val="28"/>
        </w:rPr>
        <w:t>关键词：</w:t>
      </w:r>
      <w:r>
        <w:rPr>
          <w:rFonts w:ascii="宋体" w:hAnsi="宋体" w:eastAsia="宋体"/>
          <w:b w:val="0"/>
          <w:sz w:val="24"/>
        </w:rPr>
        <w:t>Airbnb；纽约；定价分析；可视化；RFM模型</w:t>
      </w:r>
    </w:p>
    <w:p w14:paraId="191675D3">
      <w:r>
        <w:br w:type="page"/>
      </w:r>
    </w:p>
    <w:p w14:paraId="2FDD5010">
      <w:pPr>
        <w:pStyle w:val="3"/>
        <w:spacing w:before="360" w:after="120" w:line="360" w:lineRule="auto"/>
        <w:jc w:val="left"/>
      </w:pPr>
      <w:r>
        <w:rPr>
          <w:rFonts w:ascii="黑体" w:hAnsi="黑体" w:eastAsia="黑体"/>
          <w:b/>
          <w:sz w:val="32"/>
        </w:rPr>
        <w:t>一、引言</w:t>
      </w:r>
    </w:p>
    <w:p w14:paraId="068D63AA">
      <w:pPr>
        <w:pStyle w:val="4"/>
        <w:spacing w:before="240" w:after="120" w:line="360" w:lineRule="auto"/>
      </w:pPr>
      <w:r>
        <w:rPr>
          <w:rFonts w:ascii="黑体" w:hAnsi="黑体" w:eastAsia="黑体"/>
          <w:b/>
          <w:sz w:val="28"/>
        </w:rPr>
        <w:t>1.1 研究背景</w:t>
      </w:r>
    </w:p>
    <w:p w14:paraId="6B4AB333">
      <w:pPr>
        <w:spacing w:before="0" w:after="0" w:line="360" w:lineRule="auto"/>
        <w:ind w:firstLine="480"/>
        <w:jc w:val="left"/>
      </w:pPr>
      <w:r>
        <w:rPr>
          <w:rFonts w:ascii="宋体" w:hAnsi="宋体" w:eastAsia="宋体"/>
          <w:b w:val="0"/>
          <w:sz w:val="24"/>
        </w:rPr>
        <w:t>纽约是全球最大的短租市场之一，Airbnb作为共享住宿龙头平台，在纽约拥有数万套活跃房源。近年来短租市场快速增长，但定价机制复杂、房源特征多样，房东与平台均面临精细化运营挑战。如何通过数据分析揭示定价规律、刻画房源特征、识别高价值客户，具有重要的商业意义。</w:t>
      </w:r>
    </w:p>
    <w:p w14:paraId="1A8CB21C">
      <w:pPr>
        <w:spacing w:before="0" w:after="0" w:line="360" w:lineRule="auto"/>
        <w:ind w:firstLine="480"/>
        <w:jc w:val="left"/>
      </w:pPr>
      <w:r>
        <w:rPr>
          <w:rFonts w:ascii="宋体" w:hAnsi="宋体" w:eastAsia="宋体"/>
          <w:b w:val="0"/>
          <w:sz w:val="24"/>
        </w:rPr>
        <w:t>Airbnb自2008年成立以来，已覆盖全球220多个国家和地区，累计接待房客超10亿人次。纽约作为世界级旅游与商务目的地，短租需求常年旺盛，房源间竞争激烈。房东如何在海量房源中脱颖而出、合理定价，是提升入住率与收益的核心问题。同时，平台方需要识别高价值房东、优化房源质量、平衡供需关系，以维持生态健康与用户体验。这些挑战本质上都是数据驱动的决策问题。</w:t>
      </w:r>
    </w:p>
    <w:p w14:paraId="2FD7B9EA">
      <w:pPr>
        <w:pStyle w:val="4"/>
        <w:spacing w:before="240" w:after="120" w:line="360" w:lineRule="auto"/>
      </w:pPr>
      <w:r>
        <w:rPr>
          <w:rFonts w:ascii="黑体" w:hAnsi="黑体" w:eastAsia="黑体"/>
          <w:b/>
          <w:sz w:val="28"/>
        </w:rPr>
        <w:t>1.2 研究目的</w:t>
      </w:r>
    </w:p>
    <w:p w14:paraId="76A119B3">
      <w:pPr>
        <w:spacing w:before="0" w:after="0" w:line="360" w:lineRule="auto"/>
        <w:ind w:firstLine="480"/>
        <w:jc w:val="left"/>
      </w:pPr>
      <w:r>
        <w:rPr>
          <w:rFonts w:ascii="宋体" w:hAnsi="宋体" w:eastAsia="宋体"/>
          <w:b w:val="0"/>
          <w:sz w:val="24"/>
        </w:rPr>
        <w:t>本文旨在以纽约Airbnb公开数据为基础，综合运用数据清洗、统计建模、机器学习与可视化技术，系统分析房源价格的影响因素、空间分布与客户价值结构，为房东定价策略与平台运营提供数据驱动的决策支持。</w:t>
      </w:r>
    </w:p>
    <w:p w14:paraId="753EF673">
      <w:pPr>
        <w:spacing w:before="0" w:after="0" w:line="360" w:lineRule="auto"/>
        <w:ind w:firstLine="480"/>
        <w:jc w:val="left"/>
      </w:pPr>
      <w:r>
        <w:rPr>
          <w:rFonts w:ascii="宋体" w:hAnsi="宋体" w:eastAsia="宋体"/>
          <w:b w:val="0"/>
          <w:sz w:val="24"/>
        </w:rPr>
        <w:t>具体目标包括：（1）揭示房源价格的关键影响因素与空间分布规律；（2）通过聚类与分类模型刻画房源群体特征与房东价值层级；（3）构建定价预测模型并评估其解释力与精度；（4）复现12种可视化模板并搭建交互式数据大屏，实现多维数据探索；（5）提炼可落地的商业建议，为房东与平台运营提供参考。</w:t>
      </w:r>
    </w:p>
    <w:p w14:paraId="7B0C9AE5">
      <w:pPr>
        <w:pStyle w:val="4"/>
        <w:spacing w:before="240" w:after="120" w:line="360" w:lineRule="auto"/>
      </w:pPr>
      <w:r>
        <w:rPr>
          <w:rFonts w:ascii="黑体" w:hAnsi="黑体" w:eastAsia="黑体"/>
          <w:b/>
          <w:sz w:val="28"/>
        </w:rPr>
        <w:t>1.3 研究意义</w:t>
      </w:r>
    </w:p>
    <w:p w14:paraId="4C364971">
      <w:pPr>
        <w:spacing w:before="0" w:after="0" w:line="360" w:lineRule="auto"/>
        <w:ind w:firstLine="480"/>
        <w:jc w:val="left"/>
      </w:pPr>
      <w:r>
        <w:rPr>
          <w:rFonts w:ascii="宋体" w:hAnsi="宋体" w:eastAsia="宋体"/>
          <w:b w:val="0"/>
          <w:sz w:val="24"/>
        </w:rPr>
        <w:t>研究涵盖数据获取、清洗治理、五种商业模型、Python可视化与大屏搭建全流程，兼具学术探索与商业应用价值，可为共享住宿行业的精细化运营提供方法论参考与实践范例。</w:t>
      </w:r>
    </w:p>
    <w:p w14:paraId="117241C3">
      <w:pPr>
        <w:spacing w:before="0" w:after="0" w:line="360" w:lineRule="auto"/>
        <w:ind w:firstLine="480"/>
        <w:jc w:val="left"/>
      </w:pPr>
      <w:r>
        <w:rPr>
          <w:rFonts w:ascii="宋体" w:hAnsi="宋体" w:eastAsia="宋体"/>
          <w:b w:val="0"/>
          <w:sz w:val="24"/>
        </w:rPr>
        <w:t>从学术角度看，本文将K-Means、随机森林、RFM、帕累托与时序分析五种模型系统应用于短租定价场景，验证了机器学习与商业分析模型在共享经济领域的适用性。从实践角度看，研究产出的定价预测模型、房东价值分群与可视化大屏可直接服务于房东定价决策与平台运营监控，具有显著的工程落地价值。</w:t>
      </w:r>
    </w:p>
    <w:p w14:paraId="40F25804">
      <w:pPr>
        <w:pStyle w:val="3"/>
        <w:spacing w:before="360" w:after="120" w:line="360" w:lineRule="auto"/>
        <w:jc w:val="left"/>
      </w:pPr>
      <w:r>
        <w:rPr>
          <w:rFonts w:ascii="黑体" w:hAnsi="黑体" w:eastAsia="黑体"/>
          <w:b/>
          <w:sz w:val="32"/>
        </w:rPr>
        <w:t>二、数据准备与预处理</w:t>
      </w:r>
    </w:p>
    <w:p w14:paraId="2AE8CDD7">
      <w:pPr>
        <w:pStyle w:val="4"/>
        <w:spacing w:before="240" w:after="120" w:line="360" w:lineRule="auto"/>
      </w:pPr>
      <w:r>
        <w:rPr>
          <w:rFonts w:ascii="黑体" w:hAnsi="黑体" w:eastAsia="黑体"/>
          <w:b/>
          <w:sz w:val="28"/>
        </w:rPr>
        <w:t>2.1 数据源介绍</w:t>
      </w:r>
    </w:p>
    <w:p w14:paraId="1995EDB8">
      <w:pPr>
        <w:spacing w:before="0" w:after="0" w:line="360" w:lineRule="auto"/>
        <w:ind w:firstLine="480"/>
        <w:jc w:val="left"/>
      </w:pPr>
      <w:r>
        <w:rPr>
          <w:rFonts w:ascii="宋体" w:hAnsi="宋体" w:eastAsia="宋体"/>
          <w:b w:val="0"/>
          <w:sz w:val="24"/>
        </w:rPr>
        <w:t>本文数据来自Inside Airbnb（http://insideairbnb.com）公开数据集。该平台定期发布Airbnb城市房源公开信息，包括房源详情、价格、评分、房东属性与地理位置等字段。原始数据为listings.csv.gz压缩文件，解压后共29,918条房源记录、90个字段，覆盖纽约五大行政区（曼哈顿、布鲁克林、皇后区、布朗克斯、斯塔滕岛）。</w:t>
      </w:r>
    </w:p>
    <w:p w14:paraId="457121D0">
      <w:pPr>
        <w:pStyle w:val="4"/>
        <w:spacing w:before="240" w:after="120" w:line="360" w:lineRule="auto"/>
      </w:pPr>
      <w:r>
        <w:rPr>
          <w:rFonts w:ascii="黑体" w:hAnsi="黑体" w:eastAsia="黑体"/>
          <w:b/>
          <w:sz w:val="28"/>
        </w:rPr>
        <w:t>2.2 合规获取方式</w:t>
      </w:r>
    </w:p>
    <w:p w14:paraId="38104B65">
      <w:pPr>
        <w:spacing w:before="0" w:after="0" w:line="360" w:lineRule="auto"/>
        <w:ind w:firstLine="480"/>
        <w:jc w:val="left"/>
      </w:pPr>
      <w:r>
        <w:rPr>
          <w:rFonts w:ascii="宋体" w:hAnsi="宋体" w:eastAsia="宋体"/>
          <w:b w:val="0"/>
          <w:sz w:val="24"/>
        </w:rPr>
        <w:t>数据通过白名单方式获取：直接访问Inside Airbnb官方网站，在New York City页面下载listings.csv.gz文件。未使用任何爬虫技术（无Scrapy/Selenium/requests解析网页），数据为Airbnb网站公开可见信息的定期快照。</w:t>
      </w:r>
    </w:p>
    <w:p w14:paraId="4EBE3B85">
      <w:pPr>
        <w:pStyle w:val="4"/>
        <w:spacing w:before="240" w:after="120" w:line="360" w:lineRule="auto"/>
      </w:pPr>
      <w:r>
        <w:rPr>
          <w:rFonts w:ascii="黑体" w:hAnsi="黑体" w:eastAsia="黑体"/>
          <w:b/>
          <w:sz w:val="28"/>
        </w:rPr>
        <w:t>2.3 数据来源合规声明</w:t>
      </w:r>
    </w:p>
    <w:p w14:paraId="4390C4F5">
      <w:pPr>
        <w:spacing w:before="0" w:after="0" w:line="360" w:lineRule="auto"/>
        <w:ind w:firstLine="480"/>
        <w:jc w:val="left"/>
      </w:pPr>
      <w:r>
        <w:rPr>
          <w:rFonts w:ascii="宋体" w:hAnsi="宋体" w:eastAsia="宋体"/>
          <w:b w:val="0"/>
          <w:sz w:val="24"/>
        </w:rPr>
        <w:t>获取日期：2026年10月27日。授权/License：CC BY 4.0（署名-国际创意共享）。Inside Airbnb数据均为Airbnb网站公开可见信息，不含个人隐私数据。本文仅用于学术教学分析，不用于商业用途，不重新分发原始数据。</w:t>
      </w:r>
    </w:p>
    <w:p w14:paraId="49188309">
      <w:pPr>
        <w:pStyle w:val="4"/>
        <w:spacing w:before="240" w:after="120" w:line="360" w:lineRule="auto"/>
      </w:pPr>
      <w:r>
        <w:rPr>
          <w:rFonts w:ascii="黑体" w:hAnsi="黑体" w:eastAsia="黑体"/>
          <w:b/>
          <w:sz w:val="28"/>
        </w:rPr>
        <w:t>2.4 数据集概述</w:t>
      </w:r>
    </w:p>
    <w:p w14:paraId="1283D233">
      <w:pPr>
        <w:spacing w:before="0" w:after="0" w:line="360" w:lineRule="auto"/>
        <w:ind w:firstLine="480"/>
        <w:jc w:val="left"/>
      </w:pPr>
      <w:r>
        <w:rPr>
          <w:rFonts w:ascii="宋体" w:hAnsi="宋体" w:eastAsia="宋体"/>
          <w:b w:val="0"/>
          <w:sz w:val="24"/>
        </w:rPr>
        <w:t>数据集为单一宽表结构，每行代表一条房源记录。核心字段包括：id（房源ID）、neighbourhood_group_cleansed（行政区）、neighbourhood_cleansed（街区）、room_type（房型）、price（价格）、availability_365（可住天数）、number_of_reviews（评论数）、review_scores_rating（评分）、host_is_super_host（超级房东）、longitude/latitude（经纬度）等。共5个行政区、223个街区。</w:t>
      </w:r>
    </w:p>
    <w:p w14:paraId="2E981880">
      <w:pPr>
        <w:spacing w:before="0" w:after="0" w:line="360" w:lineRule="auto"/>
        <w:ind w:firstLine="480"/>
        <w:jc w:val="left"/>
      </w:pPr>
      <w:r>
        <w:rPr>
          <w:rFonts w:ascii="宋体" w:hAnsi="宋体" w:eastAsia="宋体"/>
          <w:b w:val="0"/>
          <w:sz w:val="24"/>
        </w:rPr>
        <w:t>字段可分为五类：（1）标识类：id、host_id、listing_url；（2）地理类：neighbourhood_group_cleansed、neighbourhood_cleansed、latitude、longitude；（3）属性类：room_type、accommodates、bedrooms、bathrooms、beds、property_type；（4）经营类：price、availability_365、number_of_reviews、last_review、reviews_per_month；（5）评价类：review_scores_rating、review_scores_accuracy、review_scores_cleanliness等。丰富的字段为多维度分析提供了良好基础。</w:t>
      </w:r>
    </w:p>
    <w:p w14:paraId="61A7B909">
      <w:pPr>
        <w:pStyle w:val="3"/>
        <w:spacing w:before="360" w:after="120" w:line="360" w:lineRule="auto"/>
        <w:jc w:val="left"/>
      </w:pPr>
      <w:r>
        <w:rPr>
          <w:rFonts w:ascii="黑体" w:hAnsi="黑体" w:eastAsia="黑体"/>
          <w:b/>
          <w:sz w:val="32"/>
        </w:rPr>
        <w:t>三、数据清洗与治理</w:t>
      </w:r>
    </w:p>
    <w:p w14:paraId="3EB3F50B">
      <w:pPr>
        <w:pStyle w:val="4"/>
        <w:spacing w:before="240" w:after="120" w:line="360" w:lineRule="auto"/>
      </w:pPr>
      <w:r>
        <w:rPr>
          <w:rFonts w:ascii="黑体" w:hAnsi="黑体" w:eastAsia="黑体"/>
          <w:b/>
          <w:sz w:val="28"/>
        </w:rPr>
        <w:t>3.1 数据清洗</w:t>
      </w:r>
    </w:p>
    <w:p w14:paraId="39C3C7F6">
      <w:pPr>
        <w:spacing w:before="0" w:after="0" w:line="360" w:lineRule="auto"/>
        <w:ind w:firstLine="480"/>
        <w:jc w:val="left"/>
      </w:pPr>
      <w:r>
        <w:rPr>
          <w:rFonts w:ascii="宋体" w:hAnsi="宋体" w:eastAsia="宋体"/>
          <w:b w:val="0"/>
          <w:sz w:val="24"/>
        </w:rPr>
        <w:t>数据清洗步骤包括：（1）剔除价格为空或非正值的异常记录；（2）将价格限制在合理区间(0, 2000]美元，过滤极端值；（3）过滤availability_365&lt;=0的不可订房源；（4）按id去重。</w:t>
      </w:r>
    </w:p>
    <w:p w14:paraId="7A65241E">
      <w:pPr>
        <w:spacing w:before="0" w:after="0" w:line="360" w:lineRule="auto"/>
        <w:ind w:firstLine="480"/>
        <w:jc w:val="left"/>
      </w:pPr>
      <w:r>
        <w:rPr>
          <w:rFonts w:ascii="宋体" w:hAnsi="宋体" w:eastAsia="宋体"/>
          <w:b w:val="0"/>
          <w:sz w:val="24"/>
        </w:rPr>
        <w:t>清洗报告摘要如下：</w:t>
      </w:r>
    </w:p>
    <w:p w14:paraId="75BCABBB">
      <w:pPr>
        <w:spacing w:before="0" w:after="0" w:line="360" w:lineRule="auto"/>
        <w:ind w:firstLine="480"/>
        <w:jc w:val="left"/>
      </w:pPr>
      <w:r>
        <w:rPr>
          <w:rFonts w:ascii="宋体" w:hAnsi="宋体" w:eastAsia="宋体"/>
          <w:b w:val="0"/>
          <w:sz w:val="24"/>
        </w:rPr>
        <w:t xml:space="preserve">  过滤price异常值(0&lt;p&lt;=2000)：删除10706行。</w:t>
      </w:r>
    </w:p>
    <w:p w14:paraId="25128E83">
      <w:pPr>
        <w:spacing w:before="0" w:after="0" w:line="360" w:lineRule="auto"/>
        <w:ind w:firstLine="480"/>
        <w:jc w:val="left"/>
      </w:pPr>
      <w:r>
        <w:rPr>
          <w:rFonts w:ascii="宋体" w:hAnsi="宋体" w:eastAsia="宋体"/>
          <w:b w:val="0"/>
          <w:sz w:val="24"/>
        </w:rPr>
        <w:t xml:space="preserve">  过滤availability_365&lt;=0：删除9行。</w:t>
      </w:r>
    </w:p>
    <w:p w14:paraId="1B9CB35A">
      <w:pPr>
        <w:spacing w:before="0" w:after="0" w:line="360" w:lineRule="auto"/>
        <w:ind w:firstLine="480"/>
        <w:jc w:val="left"/>
      </w:pPr>
      <w:r>
        <w:rPr>
          <w:rFonts w:ascii="宋体" w:hAnsi="宋体" w:eastAsia="宋体"/>
          <w:b w:val="0"/>
          <w:sz w:val="24"/>
        </w:rPr>
        <w:t xml:space="preserve">  按id去重：删除0行。</w:t>
      </w:r>
    </w:p>
    <w:p w14:paraId="048E7A61">
      <w:pPr>
        <w:spacing w:before="0" w:after="0" w:line="360" w:lineRule="auto"/>
        <w:ind w:firstLine="480"/>
        <w:jc w:val="left"/>
      </w:pPr>
      <w:r>
        <w:rPr>
          <w:rFonts w:ascii="宋体" w:hAnsi="宋体" w:eastAsia="宋体"/>
          <w:b w:val="0"/>
          <w:sz w:val="24"/>
        </w:rPr>
        <w:t xml:space="preserve">  原始行数：删除29918行。</w:t>
      </w:r>
    </w:p>
    <w:p w14:paraId="307FB9CB">
      <w:pPr>
        <w:spacing w:before="0" w:after="0" w:line="360" w:lineRule="auto"/>
        <w:ind w:firstLine="480"/>
        <w:jc w:val="left"/>
      </w:pPr>
      <w:r>
        <w:rPr>
          <w:rFonts w:ascii="宋体" w:hAnsi="宋体" w:eastAsia="宋体"/>
          <w:b w:val="0"/>
          <w:sz w:val="24"/>
        </w:rPr>
        <w:t xml:space="preserve">  清洗后行数：删除19203行。</w:t>
      </w:r>
    </w:p>
    <w:p w14:paraId="422EE7CE">
      <w:pPr>
        <w:spacing w:before="0" w:after="0" w:line="360" w:lineRule="auto"/>
        <w:ind w:firstLine="480"/>
        <w:jc w:val="left"/>
      </w:pPr>
      <w:r>
        <w:rPr>
          <w:rFonts w:ascii="宋体" w:hAnsi="宋体" w:eastAsia="宋体"/>
          <w:b w:val="0"/>
          <w:sz w:val="24"/>
        </w:rPr>
        <w:t>其中价格过滤是关键步骤：原始数据中存在价格为0或极端高价（超万美元）的异常记录，这些记录可能是测试房源或录入错误。将价格上限定为2000美元，覆盖了正常市场价格的99%分位数，既保留了绝大多数有效数据，又排除了极端噪声。</w:t>
      </w:r>
    </w:p>
    <w:p w14:paraId="316C2995">
      <w:pPr>
        <w:pStyle w:val="4"/>
        <w:spacing w:before="240" w:after="120" w:line="360" w:lineRule="auto"/>
      </w:pPr>
      <w:r>
        <w:rPr>
          <w:rFonts w:ascii="黑体" w:hAnsi="黑体" w:eastAsia="黑体"/>
          <w:b/>
          <w:sz w:val="28"/>
        </w:rPr>
        <w:t>3.2 数据转换</w:t>
      </w:r>
    </w:p>
    <w:p w14:paraId="3E8E3F99">
      <w:pPr>
        <w:spacing w:before="0" w:after="0" w:line="360" w:lineRule="auto"/>
        <w:ind w:firstLine="480"/>
        <w:jc w:val="left"/>
      </w:pPr>
      <w:r>
        <w:rPr>
          <w:rFonts w:ascii="宋体" w:hAnsi="宋体" w:eastAsia="宋体"/>
          <w:b w:val="0"/>
          <w:sz w:val="24"/>
        </w:rPr>
        <w:t>类型统一：将host_is_super_host字段统一为布尔类型；日期对齐：将last_review、host_since等日期字段解析为datetime类型；指标派生：计算人均价格price_per_person等辅助分析字段。</w:t>
      </w:r>
    </w:p>
    <w:p w14:paraId="7FB3C138">
      <w:pPr>
        <w:spacing w:before="0" w:after="0" w:line="360" w:lineRule="auto"/>
        <w:ind w:firstLine="480"/>
        <w:jc w:val="left"/>
      </w:pPr>
      <w:r>
        <w:rPr>
          <w:rFonts w:ascii="宋体" w:hAnsi="宋体" w:eastAsia="宋体"/>
          <w:b w:val="0"/>
          <w:sz w:val="24"/>
        </w:rPr>
        <w:t>此外，对review_scores_rating等评分字段进行空值检查，保留有效评分记录用于后续分析。对neighbourhood_cleansed（街区）字段进行规范化处理，确保名称一致性。所有转换操作均通过Pandas向量化方法实现，保证处理效率与可复现性。</w:t>
      </w:r>
    </w:p>
    <w:p w14:paraId="1C425BEE">
      <w:pPr>
        <w:pStyle w:val="4"/>
        <w:spacing w:before="240" w:after="120" w:line="360" w:lineRule="auto"/>
      </w:pPr>
      <w:r>
        <w:rPr>
          <w:rFonts w:ascii="黑体" w:hAnsi="黑体" w:eastAsia="黑体"/>
          <w:b/>
          <w:sz w:val="28"/>
        </w:rPr>
        <w:t>3.3 数据整合</w:t>
      </w:r>
    </w:p>
    <w:p w14:paraId="2BE3876F">
      <w:pPr>
        <w:spacing w:before="0" w:after="0" w:line="360" w:lineRule="auto"/>
        <w:ind w:firstLine="480"/>
        <w:jc w:val="left"/>
      </w:pPr>
      <w:r>
        <w:rPr>
          <w:rFonts w:ascii="宋体" w:hAnsi="宋体" w:eastAsia="宋体"/>
          <w:b w:val="0"/>
          <w:sz w:val="24"/>
        </w:rPr>
        <w:t>本项目为单一宽表结构，无需多表关联。清洗后保留19,203条有效记录，数据完整性与一致性满足后续建模与可视化要求。清洗过程全部用Python（Pandas）实现，可复现、可审计。</w:t>
      </w:r>
    </w:p>
    <w:p w14:paraId="25F00504">
      <w:pPr>
        <w:pStyle w:val="3"/>
        <w:spacing w:before="360" w:after="120" w:line="360" w:lineRule="auto"/>
        <w:jc w:val="left"/>
      </w:pPr>
      <w:r>
        <w:rPr>
          <w:rFonts w:ascii="黑体" w:hAnsi="黑体" w:eastAsia="黑体"/>
          <w:b/>
          <w:sz w:val="32"/>
        </w:rPr>
        <w:t>四、商业分析模型</w:t>
      </w:r>
    </w:p>
    <w:p w14:paraId="51C7F2D3">
      <w:pPr>
        <w:pStyle w:val="4"/>
        <w:spacing w:before="240" w:after="120" w:line="360" w:lineRule="auto"/>
      </w:pPr>
      <w:r>
        <w:rPr>
          <w:rFonts w:ascii="黑体" w:hAnsi="黑体" w:eastAsia="黑体"/>
          <w:b/>
          <w:sz w:val="28"/>
        </w:rPr>
        <w:t>4.1 模型选型</w:t>
      </w:r>
    </w:p>
    <w:p w14:paraId="3803F9FA">
      <w:pPr>
        <w:spacing w:before="0" w:after="0" w:line="360" w:lineRule="auto"/>
        <w:ind w:firstLine="480"/>
        <w:jc w:val="left"/>
      </w:pPr>
      <w:r>
        <w:rPr>
          <w:rFonts w:ascii="宋体" w:hAnsi="宋体" w:eastAsia="宋体"/>
          <w:b w:val="0"/>
          <w:sz w:val="24"/>
        </w:rPr>
        <w:t>本文选取五种商业分析模型：（1）K-Means聚类——房源无监督分群；（2）随机森林回归——定价预测与特征重要性；（3）RFM客户价值分层——房东八分类；（4）帕累托ABC分类——街区贡献度分级；（5）月度时序趋势——市场活跃度变化分析。五种模型覆盖描述性、预测性与分群分析，满足不少于3种的要求。</w:t>
      </w:r>
    </w:p>
    <w:p w14:paraId="26680AE5">
      <w:pPr>
        <w:spacing w:before="0" w:after="0" w:line="360" w:lineRule="auto"/>
        <w:ind w:firstLine="480"/>
        <w:jc w:val="left"/>
      </w:pPr>
      <w:r>
        <w:rPr>
          <w:rFonts w:ascii="宋体" w:hAnsi="宋体" w:eastAsia="宋体"/>
          <w:b w:val="0"/>
          <w:sz w:val="24"/>
        </w:rPr>
        <w:t>选型依据如下：K-Means适用于探索房源自然分群结构，无先验标签下发现潜在模式；随机森林适合处理混合类型特征的非线性定价关系，且可输出特征重要性；RFM是客户价值分层的经典方法，迁移到房东价值评估具有天然适配性；帕累托分析可快速识别核心贡献街区，聚焦运营资源；时序趋势分析揭示市场动态变化，辅助判断市场周期与增长态势。五种模型从不同维度互补，共同构建全面的商业分析框架。</w:t>
      </w:r>
    </w:p>
    <w:p w14:paraId="0E25789A">
      <w:pPr>
        <w:pStyle w:val="4"/>
        <w:spacing w:before="240" w:after="120" w:line="360" w:lineRule="auto"/>
      </w:pPr>
      <w:r>
        <w:rPr>
          <w:rFonts w:ascii="黑体" w:hAnsi="黑体" w:eastAsia="黑体"/>
          <w:b/>
          <w:sz w:val="28"/>
        </w:rPr>
        <w:t>4.2 参数与阈值设定依据</w:t>
      </w:r>
    </w:p>
    <w:p w14:paraId="0FA92C79">
      <w:pPr>
        <w:spacing w:before="0" w:after="0" w:line="360" w:lineRule="auto"/>
        <w:ind w:firstLine="480"/>
        <w:jc w:val="left"/>
      </w:pPr>
      <w:r>
        <w:rPr>
          <w:rFonts w:ascii="宋体" w:hAnsi="宋体" w:eastAsia="宋体"/>
          <w:b w:val="0"/>
          <w:sz w:val="24"/>
        </w:rPr>
        <w:t>K-Means：K=4（由肘部法则确定），选取price、availability_365、number_of_reviews、review_scores_rating等特征标准化后聚类。随机森林：n_estimators=200，max_depth=20，random_state=42，特征包括行政区、房型、可容纳人数、可住天数、经纬度等。RFM：R按last_review距今天数、F按number_of_reviews、M按price×reviews，三分位阈值划分8类。帕累托：按街区房源数降序排列，累计占比70%为A类、90%为B类、其余C类。</w:t>
      </w:r>
    </w:p>
    <w:p w14:paraId="71BE9182">
      <w:pPr>
        <w:spacing w:before="0" w:after="0" w:line="360" w:lineRule="auto"/>
        <w:ind w:firstLine="480"/>
        <w:jc w:val="left"/>
      </w:pPr>
      <w:r>
        <w:rPr>
          <w:rFonts w:ascii="宋体" w:hAnsi="宋体" w:eastAsia="宋体"/>
          <w:b w:val="0"/>
          <w:sz w:val="24"/>
        </w:rPr>
        <w:t>参数设定均有业务依据：K-Means的K=4经肘部法则验证，在4处SSE下降速率明显放缓；随机森林的n_estimators=200在偏差-方差权衡中表现最优，max_depth=20防止过拟合；RFM采用三分位而非固定阈值，使各分群样本量相对均衡；帕累托的70%/90%阈值是经典ABC分类标准，与二八定律一致。所有参数均通过实验对比确定，非主观随意设定。</w:t>
      </w:r>
    </w:p>
    <w:p w14:paraId="7C21BCC7">
      <w:pPr>
        <w:pStyle w:val="4"/>
        <w:spacing w:before="240" w:after="120" w:line="360" w:lineRule="auto"/>
      </w:pPr>
      <w:r>
        <w:rPr>
          <w:rFonts w:ascii="黑体" w:hAnsi="黑体" w:eastAsia="黑体"/>
          <w:b/>
          <w:sz w:val="28"/>
        </w:rPr>
        <w:t>4.3 模型计算与验证</w:t>
      </w:r>
    </w:p>
    <w:p w14:paraId="00A03F5B">
      <w:pPr>
        <w:spacing w:before="0" w:after="0" w:line="360" w:lineRule="auto"/>
        <w:ind w:firstLine="480"/>
        <w:jc w:val="left"/>
      </w:pPr>
      <w:r>
        <w:rPr>
          <w:rFonts w:ascii="宋体" w:hAnsi="宋体" w:eastAsia="宋体"/>
          <w:b w:val="0"/>
          <w:sz w:val="24"/>
        </w:rPr>
        <w:t>K-Means聚类得到4个簇：经济型5,510条、中端1,507条、精品2,744条、大容量9,442条，各簇在价格、可住天数、评论数维度差异显著。</w:t>
      </w:r>
    </w:p>
    <w:p w14:paraId="2B142DEE">
      <w:pPr>
        <w:spacing w:before="0" w:after="0" w:line="360" w:lineRule="auto"/>
        <w:ind w:firstLine="480"/>
        <w:jc w:val="left"/>
      </w:pPr>
      <w:r>
        <w:rPr>
          <w:rFonts w:ascii="宋体" w:hAnsi="宋体" w:eastAsia="宋体"/>
          <w:b w:val="0"/>
          <w:sz w:val="24"/>
        </w:rPr>
        <w:t>随机森林定价预测：R²=0.630，RMSE=160.36，MAE=90.09，解释力良好。最重要特征为房型、行政区、可住天数。</w:t>
      </w:r>
    </w:p>
    <w:p w14:paraId="0891F8E8">
      <w:pPr>
        <w:spacing w:before="0" w:after="0" w:line="360" w:lineRule="auto"/>
        <w:ind w:firstLine="480"/>
        <w:jc w:val="left"/>
      </w:pPr>
      <w:r>
        <w:rPr>
          <w:rFonts w:ascii="宋体" w:hAnsi="宋体" w:eastAsia="宋体"/>
          <w:b w:val="0"/>
          <w:sz w:val="24"/>
        </w:rPr>
        <w:t>RFM房东价值分层：8个分群中【重要价值】房东2,210人平均M值最高($1178.3)，应优先运营维护。</w:t>
      </w:r>
    </w:p>
    <w:p w14:paraId="75822922">
      <w:pPr>
        <w:spacing w:before="0" w:after="0" w:line="360" w:lineRule="auto"/>
        <w:ind w:firstLine="480"/>
        <w:jc w:val="left"/>
      </w:pPr>
      <w:r>
        <w:rPr>
          <w:rFonts w:ascii="宋体" w:hAnsi="宋体" w:eastAsia="宋体"/>
          <w:b w:val="0"/>
          <w:sz w:val="24"/>
        </w:rPr>
        <w:t>帕累托ABC分类：A类12个街区贡献69.0%房源量，符合20/80法则。</w:t>
      </w:r>
    </w:p>
    <w:p w14:paraId="531E286F">
      <w:pPr>
        <w:spacing w:before="0" w:after="0" w:line="360" w:lineRule="auto"/>
        <w:ind w:firstLine="480"/>
        <w:jc w:val="left"/>
      </w:pPr>
      <w:r>
        <w:rPr>
          <w:rFonts w:ascii="宋体" w:hAnsi="宋体" w:eastAsia="宋体"/>
          <w:b w:val="0"/>
          <w:sz w:val="24"/>
        </w:rPr>
        <w:t>月度时序趋势：覆盖150个月份，评论数整体呈上升趋势，近24月活跃房源持续增长，市场呈扩张态势。</w:t>
      </w:r>
    </w:p>
    <w:p w14:paraId="434C44B8">
      <w:pPr>
        <w:pStyle w:val="3"/>
        <w:spacing w:before="360" w:after="120" w:line="360" w:lineRule="auto"/>
        <w:jc w:val="left"/>
      </w:pPr>
      <w:r>
        <w:rPr>
          <w:rFonts w:ascii="黑体" w:hAnsi="黑体" w:eastAsia="黑体"/>
          <w:b/>
          <w:sz w:val="32"/>
        </w:rPr>
        <w:t>五、Python数据分析与可视化</w:t>
      </w:r>
    </w:p>
    <w:p w14:paraId="64645261">
      <w:pPr>
        <w:pStyle w:val="4"/>
        <w:spacing w:before="240" w:after="120" w:line="360" w:lineRule="auto"/>
      </w:pPr>
      <w:r>
        <w:rPr>
          <w:rFonts w:ascii="黑体" w:hAnsi="黑体" w:eastAsia="黑体"/>
          <w:b/>
          <w:sz w:val="28"/>
        </w:rPr>
        <w:t>5.1 数据探索性分析</w:t>
      </w:r>
    </w:p>
    <w:p w14:paraId="619F73FC">
      <w:pPr>
        <w:spacing w:before="0" w:after="0" w:line="360" w:lineRule="auto"/>
        <w:ind w:firstLine="480"/>
        <w:jc w:val="left"/>
      </w:pPr>
      <w:r>
        <w:rPr>
          <w:rFonts w:ascii="宋体" w:hAnsi="宋体" w:eastAsia="宋体"/>
          <w:b w:val="0"/>
          <w:sz w:val="24"/>
        </w:rPr>
        <w:t>对清洗后19,203条房源数据进行探索性分析：平均价格$271/晚，覆盖5个行政区、223个街区。曼哈顿与布鲁克林房源密度最高，Entire home/apt与Private room为主流房型。</w:t>
      </w:r>
    </w:p>
    <w:p w14:paraId="7629C406">
      <w:pPr>
        <w:pStyle w:val="4"/>
        <w:spacing w:before="240" w:after="120" w:line="360" w:lineRule="auto"/>
      </w:pPr>
      <w:r>
        <w:rPr>
          <w:rFonts w:ascii="黑体" w:hAnsi="黑体" w:eastAsia="黑体"/>
          <w:b/>
          <w:sz w:val="28"/>
        </w:rPr>
        <w:t>5.2 可视化模板复现</w:t>
      </w:r>
    </w:p>
    <w:p w14:paraId="0695FF82">
      <w:pPr>
        <w:spacing w:before="0" w:after="0" w:line="360" w:lineRule="auto"/>
        <w:ind w:firstLine="480"/>
        <w:jc w:val="left"/>
      </w:pPr>
      <w:r>
        <w:rPr>
          <w:rFonts w:ascii="宋体" w:hAnsi="宋体" w:eastAsia="宋体"/>
          <w:b w:val="0"/>
          <w:sz w:val="24"/>
        </w:rPr>
        <w:t>对照《Excel数据可视化——从图表到数据大屏》30种模板，复现12种模板图（图1—图12）：柱形图、折线图、饼图、双轴组合图、堆积柱形图、散点图、箱线图、热力图、水平条形图、圆环图、雷达图、棒棒糖图。所有图表分辨率200dpi，统一中文字体与现代精致配色风格。</w:t>
      </w:r>
    </w:p>
    <w:p w14:paraId="6EC5BA80">
      <w:pPr>
        <w:spacing w:before="120" w:after="0" w:line="360" w:lineRule="auto"/>
        <w:jc w:val="center"/>
      </w:pPr>
      <w:r>
        <w:drawing>
          <wp:inline distT="0" distB="0" distL="114300" distR="114300">
            <wp:extent cx="4319905" cy="251650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pic:cNvPicPr>
                  </pic:nvPicPr>
                  <pic:blipFill>
                    <a:blip r:embed="rId11"/>
                    <a:stretch>
                      <a:fillRect/>
                    </a:stretch>
                  </pic:blipFill>
                  <pic:spPr>
                    <a:xfrm>
                      <a:off x="0" y="0"/>
                      <a:ext cx="4320000" cy="2516855"/>
                    </a:xfrm>
                    <a:prstGeom prst="rect">
                      <a:avLst/>
                    </a:prstGeom>
                  </pic:spPr>
                </pic:pic>
              </a:graphicData>
            </a:graphic>
          </wp:inline>
        </w:drawing>
      </w:r>
    </w:p>
    <w:p w14:paraId="13C18B1D">
      <w:pPr>
        <w:spacing w:before="0" w:after="120" w:line="360" w:lineRule="auto"/>
        <w:jc w:val="center"/>
      </w:pPr>
      <w:r>
        <w:rPr>
          <w:rFonts w:ascii="宋体" w:hAnsi="宋体" w:eastAsia="宋体"/>
          <w:b/>
          <w:sz w:val="21"/>
        </w:rPr>
        <w:t>图1 房型分布柱形图</w:t>
      </w:r>
    </w:p>
    <w:p w14:paraId="602D5E17">
      <w:pPr>
        <w:spacing w:before="0" w:after="0" w:line="360" w:lineRule="auto"/>
        <w:ind w:firstLine="480"/>
        <w:jc w:val="left"/>
      </w:pPr>
      <w:r>
        <w:rPr>
          <w:rFonts w:ascii="宋体" w:hAnsi="宋体" w:eastAsia="宋体"/>
          <w:b w:val="0"/>
          <w:sz w:val="24"/>
        </w:rPr>
        <w:t>如图1所示，Entire home/apt（整套公寓）占比最高，约52%，Private room（独立房间）次之约46%，Shared room（共享房间）不足2%。整套房源占据主导地位，反映出旅客对私密空间与独立居住体验的强烈偏好。共享房间占比极低，说明纽约市场以家庭出游与商务差旅为主，背包客客群规模有限。</w:t>
      </w:r>
    </w:p>
    <w:p w14:paraId="4D4F86D6">
      <w:pPr>
        <w:spacing w:before="120" w:after="0" w:line="360" w:lineRule="auto"/>
        <w:jc w:val="center"/>
      </w:pPr>
      <w:r>
        <w:drawing>
          <wp:inline distT="0" distB="0" distL="114300" distR="114300">
            <wp:extent cx="5039995" cy="2083435"/>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a:picLocks noChangeAspect="1"/>
                    </pic:cNvPicPr>
                  </pic:nvPicPr>
                  <pic:blipFill>
                    <a:blip r:embed="rId12"/>
                    <a:stretch>
                      <a:fillRect/>
                    </a:stretch>
                  </pic:blipFill>
                  <pic:spPr>
                    <a:xfrm>
                      <a:off x="0" y="0"/>
                      <a:ext cx="5040000" cy="2083805"/>
                    </a:xfrm>
                    <a:prstGeom prst="rect">
                      <a:avLst/>
                    </a:prstGeom>
                  </pic:spPr>
                </pic:pic>
              </a:graphicData>
            </a:graphic>
          </wp:inline>
        </w:drawing>
      </w:r>
    </w:p>
    <w:p w14:paraId="661F639A">
      <w:pPr>
        <w:spacing w:before="0" w:after="120" w:line="360" w:lineRule="auto"/>
        <w:jc w:val="center"/>
      </w:pPr>
      <w:r>
        <w:rPr>
          <w:rFonts w:ascii="宋体" w:hAnsi="宋体" w:eastAsia="宋体"/>
          <w:b/>
          <w:sz w:val="21"/>
        </w:rPr>
        <w:t>图2 月度评论趋势折线图</w:t>
      </w:r>
    </w:p>
    <w:p w14:paraId="06DAFD17">
      <w:pPr>
        <w:spacing w:before="0" w:after="0" w:line="360" w:lineRule="auto"/>
        <w:ind w:firstLine="480"/>
        <w:jc w:val="left"/>
      </w:pPr>
      <w:r>
        <w:rPr>
          <w:rFonts w:ascii="宋体" w:hAnsi="宋体" w:eastAsia="宋体"/>
          <w:b w:val="0"/>
          <w:sz w:val="24"/>
        </w:rPr>
        <w:t>如图2所示，月度评论数自2015年起波动上升，2023—2024年达到峰值。评论数是市场活跃度的代理指标，其持续增长反映出纽约Airbnb市场需求旺盛、房客基数稳步扩大。2020年中期出现明显低谷，对应全球疫情冲击，随后迅速反弹并超过疫情前水平，体现了短租市场的强韧性与复苏能力。</w:t>
      </w:r>
    </w:p>
    <w:p w14:paraId="56A65207">
      <w:pPr>
        <w:spacing w:before="120" w:after="0" w:line="360" w:lineRule="auto"/>
        <w:jc w:val="center"/>
      </w:pPr>
      <w:r>
        <w:drawing>
          <wp:inline distT="0" distB="0" distL="114300" distR="114300">
            <wp:extent cx="3599815" cy="2823845"/>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a:picLocks noChangeAspect="1"/>
                    </pic:cNvPicPr>
                  </pic:nvPicPr>
                  <pic:blipFill>
                    <a:blip r:embed="rId13"/>
                    <a:stretch>
                      <a:fillRect/>
                    </a:stretch>
                  </pic:blipFill>
                  <pic:spPr>
                    <a:xfrm>
                      <a:off x="0" y="0"/>
                      <a:ext cx="3600000" cy="2823846"/>
                    </a:xfrm>
                    <a:prstGeom prst="rect">
                      <a:avLst/>
                    </a:prstGeom>
                  </pic:spPr>
                </pic:pic>
              </a:graphicData>
            </a:graphic>
          </wp:inline>
        </w:drawing>
      </w:r>
    </w:p>
    <w:p w14:paraId="18853D5D">
      <w:pPr>
        <w:spacing w:before="0" w:after="120" w:line="360" w:lineRule="auto"/>
        <w:jc w:val="center"/>
      </w:pPr>
      <w:r>
        <w:rPr>
          <w:rFonts w:ascii="宋体" w:hAnsi="宋体" w:eastAsia="宋体"/>
          <w:b/>
          <w:sz w:val="21"/>
        </w:rPr>
        <w:t>图3 行政区占比饼图</w:t>
      </w:r>
    </w:p>
    <w:p w14:paraId="4EEC3B21">
      <w:pPr>
        <w:spacing w:before="0" w:after="0" w:line="360" w:lineRule="auto"/>
        <w:ind w:firstLine="480"/>
        <w:jc w:val="left"/>
      </w:pPr>
      <w:r>
        <w:rPr>
          <w:rFonts w:ascii="宋体" w:hAnsi="宋体" w:eastAsia="宋体"/>
          <w:b w:val="0"/>
          <w:sz w:val="24"/>
        </w:rPr>
        <w:t>如图3所示，曼哈顿与布鲁克林两区房源量合计超过80%，构成纽约Airbnb的主力市场。曼哈顿作为核心商务与旅游区，房源密度最高；布鲁克林凭借文化氛围与相对亲民价格紧随其后。皇后区、布朗克斯与斯塔滕岛占比合计不足20%，外围区域供给充足度有限，存在差异化开发空间。</w:t>
      </w:r>
    </w:p>
    <w:p w14:paraId="4B93DE04">
      <w:pPr>
        <w:spacing w:before="120" w:after="0" w:line="360" w:lineRule="auto"/>
        <w:jc w:val="center"/>
      </w:pPr>
      <w:r>
        <w:drawing>
          <wp:inline distT="0" distB="0" distL="114300" distR="114300">
            <wp:extent cx="5039995" cy="226187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a:picLocks noChangeAspect="1"/>
                    </pic:cNvPicPr>
                  </pic:nvPicPr>
                  <pic:blipFill>
                    <a:blip r:embed="rId14"/>
                    <a:stretch>
                      <a:fillRect/>
                    </a:stretch>
                  </pic:blipFill>
                  <pic:spPr>
                    <a:xfrm>
                      <a:off x="0" y="0"/>
                      <a:ext cx="5040000" cy="2262290"/>
                    </a:xfrm>
                    <a:prstGeom prst="rect">
                      <a:avLst/>
                    </a:prstGeom>
                  </pic:spPr>
                </pic:pic>
              </a:graphicData>
            </a:graphic>
          </wp:inline>
        </w:drawing>
      </w:r>
    </w:p>
    <w:p w14:paraId="7A2ACD3A">
      <w:pPr>
        <w:spacing w:before="0" w:after="120" w:line="360" w:lineRule="auto"/>
        <w:jc w:val="center"/>
      </w:pPr>
      <w:r>
        <w:rPr>
          <w:rFonts w:ascii="宋体" w:hAnsi="宋体" w:eastAsia="宋体"/>
          <w:b/>
          <w:sz w:val="21"/>
        </w:rPr>
        <w:t>图4 价格与评论数双轴组合图</w:t>
      </w:r>
    </w:p>
    <w:p w14:paraId="53D6DC9C">
      <w:pPr>
        <w:spacing w:before="0" w:after="0" w:line="360" w:lineRule="auto"/>
        <w:ind w:firstLine="480"/>
        <w:jc w:val="left"/>
      </w:pPr>
      <w:r>
        <w:rPr>
          <w:rFonts w:ascii="宋体" w:hAnsi="宋体" w:eastAsia="宋体"/>
          <w:b w:val="0"/>
          <w:sz w:val="24"/>
        </w:rPr>
        <w:t>如图4所示，价格与评论数呈反向关系：中低价房源（50—200美元）评论数最高，高价房源（500美元以上）评论数显著偏少。这说明中低价房源入住频次更高、客群更广，而高价房源虽单价高但出租率低，总收益未必占优。房东应在单价与入住率间寻求平衡。</w:t>
      </w:r>
    </w:p>
    <w:p w14:paraId="03466036">
      <w:pPr>
        <w:spacing w:before="120" w:after="0" w:line="360" w:lineRule="auto"/>
        <w:jc w:val="center"/>
      </w:pPr>
      <w:r>
        <w:drawing>
          <wp:inline distT="0" distB="0" distL="114300" distR="114300">
            <wp:extent cx="4319905" cy="248158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a:picLocks noChangeAspect="1"/>
                    </pic:cNvPicPr>
                  </pic:nvPicPr>
                  <pic:blipFill>
                    <a:blip r:embed="rId15"/>
                    <a:stretch>
                      <a:fillRect/>
                    </a:stretch>
                  </pic:blipFill>
                  <pic:spPr>
                    <a:xfrm>
                      <a:off x="0" y="0"/>
                      <a:ext cx="4320000" cy="2481930"/>
                    </a:xfrm>
                    <a:prstGeom prst="rect">
                      <a:avLst/>
                    </a:prstGeom>
                  </pic:spPr>
                </pic:pic>
              </a:graphicData>
            </a:graphic>
          </wp:inline>
        </w:drawing>
      </w:r>
    </w:p>
    <w:p w14:paraId="68792443">
      <w:pPr>
        <w:spacing w:before="0" w:after="120" w:line="360" w:lineRule="auto"/>
        <w:jc w:val="center"/>
      </w:pPr>
      <w:r>
        <w:rPr>
          <w:rFonts w:ascii="宋体" w:hAnsi="宋体" w:eastAsia="宋体"/>
          <w:b/>
          <w:sz w:val="21"/>
        </w:rPr>
        <w:t>图5 行政区与房型堆积柱形图</w:t>
      </w:r>
    </w:p>
    <w:p w14:paraId="7D482B5E">
      <w:pPr>
        <w:spacing w:before="0" w:after="0" w:line="360" w:lineRule="auto"/>
        <w:ind w:firstLine="480"/>
        <w:jc w:val="left"/>
      </w:pPr>
      <w:r>
        <w:rPr>
          <w:rFonts w:ascii="宋体" w:hAnsi="宋体" w:eastAsia="宋体"/>
          <w:b w:val="0"/>
          <w:sz w:val="24"/>
        </w:rPr>
        <w:t>如图5所示，曼哈顿以Entire home/apt为主，占比超60%，契合其高端商务定位；布鲁克林Private room占比更高，反映出共享居住文化盛行。皇后区房型分布较均衡，布朗克斯以独立房间为主。各行政区房型结构差异显著，为差异化定价与运营策略提供依据。</w:t>
      </w:r>
    </w:p>
    <w:p w14:paraId="72E85196">
      <w:pPr>
        <w:spacing w:before="120" w:after="0" w:line="360" w:lineRule="auto"/>
        <w:jc w:val="center"/>
      </w:pPr>
      <w:r>
        <w:drawing>
          <wp:inline distT="0" distB="0" distL="114300" distR="114300">
            <wp:extent cx="4319905" cy="2784475"/>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pic:cNvPicPr>
                      <a:picLocks noChangeAspect="1"/>
                    </pic:cNvPicPr>
                  </pic:nvPicPr>
                  <pic:blipFill>
                    <a:blip r:embed="rId16"/>
                    <a:stretch>
                      <a:fillRect/>
                    </a:stretch>
                  </pic:blipFill>
                  <pic:spPr>
                    <a:xfrm>
                      <a:off x="0" y="0"/>
                      <a:ext cx="4320000" cy="2784651"/>
                    </a:xfrm>
                    <a:prstGeom prst="rect">
                      <a:avLst/>
                    </a:prstGeom>
                  </pic:spPr>
                </pic:pic>
              </a:graphicData>
            </a:graphic>
          </wp:inline>
        </w:drawing>
      </w:r>
    </w:p>
    <w:p w14:paraId="7D3F9558">
      <w:pPr>
        <w:spacing w:before="0" w:after="120" w:line="360" w:lineRule="auto"/>
        <w:jc w:val="center"/>
      </w:pPr>
      <w:r>
        <w:rPr>
          <w:rFonts w:ascii="宋体" w:hAnsi="宋体" w:eastAsia="宋体"/>
          <w:b/>
          <w:sz w:val="21"/>
        </w:rPr>
        <w:t>图6 价格与评分散点图</w:t>
      </w:r>
    </w:p>
    <w:p w14:paraId="05F0C460">
      <w:pPr>
        <w:spacing w:before="0" w:after="0" w:line="360" w:lineRule="auto"/>
        <w:ind w:firstLine="480"/>
        <w:jc w:val="left"/>
      </w:pPr>
      <w:r>
        <w:rPr>
          <w:rFonts w:ascii="宋体" w:hAnsi="宋体" w:eastAsia="宋体"/>
          <w:b w:val="0"/>
          <w:sz w:val="24"/>
        </w:rPr>
        <w:t>如图6所示，评分高度集中在4.5—5.0区间，低评分房源数量稀少，说明纽约Airbnb整体服务质量较高。价格与评分之间无显著正相关，高价房源并不必然获得更高评分，部分低价房源同样获得满分评价。这提示房东：提升评分的关键在于服务品质而非单纯提价，性价比是房客评价的重要考量。</w:t>
      </w:r>
    </w:p>
    <w:p w14:paraId="336FF153">
      <w:pPr>
        <w:spacing w:before="120" w:after="0" w:line="360" w:lineRule="auto"/>
        <w:jc w:val="center"/>
      </w:pPr>
      <w:r>
        <w:drawing>
          <wp:inline distT="0" distB="0" distL="114300" distR="114300">
            <wp:extent cx="4319905" cy="2477135"/>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pic:cNvPicPr>
                      <a:picLocks noChangeAspect="1"/>
                    </pic:cNvPicPr>
                  </pic:nvPicPr>
                  <pic:blipFill>
                    <a:blip r:embed="rId17"/>
                    <a:stretch>
                      <a:fillRect/>
                    </a:stretch>
                  </pic:blipFill>
                  <pic:spPr>
                    <a:xfrm>
                      <a:off x="0" y="0"/>
                      <a:ext cx="4320000" cy="2477331"/>
                    </a:xfrm>
                    <a:prstGeom prst="rect">
                      <a:avLst/>
                    </a:prstGeom>
                  </pic:spPr>
                </pic:pic>
              </a:graphicData>
            </a:graphic>
          </wp:inline>
        </w:drawing>
      </w:r>
    </w:p>
    <w:p w14:paraId="5AD2B920">
      <w:pPr>
        <w:spacing w:before="0" w:after="120" w:line="360" w:lineRule="auto"/>
        <w:jc w:val="center"/>
      </w:pPr>
      <w:r>
        <w:rPr>
          <w:rFonts w:ascii="宋体" w:hAnsi="宋体" w:eastAsia="宋体"/>
          <w:b/>
          <w:sz w:val="21"/>
        </w:rPr>
        <w:t>图7 行政区价格箱线图</w:t>
      </w:r>
    </w:p>
    <w:p w14:paraId="36ADE090">
      <w:pPr>
        <w:spacing w:before="0" w:after="0" w:line="360" w:lineRule="auto"/>
        <w:ind w:firstLine="480"/>
        <w:jc w:val="left"/>
      </w:pPr>
      <w:r>
        <w:rPr>
          <w:rFonts w:ascii="宋体" w:hAnsi="宋体" w:eastAsia="宋体"/>
          <w:b w:val="0"/>
          <w:sz w:val="24"/>
        </w:rPr>
        <w:t>如图7所示，曼哈顿价格中位数最高（约180美元）且离散度最大，存在大量高价异常点；布鲁克林次之（约120美元），分布相对集中；布朗克斯最低（约70美元）。曼哈顿价格跨度大，既有经济型也有豪华型房源，反映出客群分层明显。各区间价格差异为跨区定价策略提供了量化参考。</w:t>
      </w:r>
    </w:p>
    <w:p w14:paraId="51F53F0F">
      <w:pPr>
        <w:spacing w:before="120" w:after="0" w:line="360" w:lineRule="auto"/>
        <w:jc w:val="center"/>
      </w:pPr>
      <w:r>
        <w:drawing>
          <wp:inline distT="0" distB="0" distL="114300" distR="114300">
            <wp:extent cx="5039995" cy="2461895"/>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pic:cNvPicPr>
                      <a:picLocks noChangeAspect="1"/>
                    </pic:cNvPicPr>
                  </pic:nvPicPr>
                  <pic:blipFill>
                    <a:blip r:embed="rId18"/>
                    <a:stretch>
                      <a:fillRect/>
                    </a:stretch>
                  </pic:blipFill>
                  <pic:spPr>
                    <a:xfrm>
                      <a:off x="0" y="0"/>
                      <a:ext cx="5040000" cy="2462104"/>
                    </a:xfrm>
                    <a:prstGeom prst="rect">
                      <a:avLst/>
                    </a:prstGeom>
                  </pic:spPr>
                </pic:pic>
              </a:graphicData>
            </a:graphic>
          </wp:inline>
        </w:drawing>
      </w:r>
    </w:p>
    <w:p w14:paraId="5A3E6CA4">
      <w:pPr>
        <w:spacing w:before="0" w:after="120" w:line="360" w:lineRule="auto"/>
        <w:jc w:val="center"/>
      </w:pPr>
      <w:r>
        <w:rPr>
          <w:rFonts w:ascii="宋体" w:hAnsi="宋体" w:eastAsia="宋体"/>
          <w:b/>
          <w:sz w:val="21"/>
        </w:rPr>
        <w:t>图8 价格与可住天数热力图</w:t>
      </w:r>
    </w:p>
    <w:p w14:paraId="6CE6E904">
      <w:pPr>
        <w:spacing w:before="0" w:after="0" w:line="360" w:lineRule="auto"/>
        <w:ind w:firstLine="480"/>
        <w:jc w:val="left"/>
      </w:pPr>
      <w:r>
        <w:rPr>
          <w:rFonts w:ascii="宋体" w:hAnsi="宋体" w:eastAsia="宋体"/>
          <w:b w:val="0"/>
          <w:sz w:val="24"/>
        </w:rPr>
        <w:t>如图8所示，中低价（50—200美元）且全年可住（availability_365≥300天）的房源最为密集，构成市场供给主体。高价低可住天数房源稀少，多为季节性或限制性出租。高可住天数房源占比高，说明多数房东将短租作为稳定收入来源而非偶尔出租，市场专业化程度较高。</w:t>
      </w:r>
    </w:p>
    <w:p w14:paraId="53243C17">
      <w:pPr>
        <w:spacing w:before="120" w:after="0" w:line="360" w:lineRule="auto"/>
        <w:jc w:val="center"/>
      </w:pPr>
      <w:r>
        <w:drawing>
          <wp:inline distT="0" distB="0" distL="114300" distR="114300">
            <wp:extent cx="4319905" cy="2474595"/>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pic:cNvPicPr>
                      <a:picLocks noChangeAspect="1"/>
                    </pic:cNvPicPr>
                  </pic:nvPicPr>
                  <pic:blipFill>
                    <a:blip r:embed="rId19"/>
                    <a:stretch>
                      <a:fillRect/>
                    </a:stretch>
                  </pic:blipFill>
                  <pic:spPr>
                    <a:xfrm>
                      <a:off x="0" y="0"/>
                      <a:ext cx="4320000" cy="2474697"/>
                    </a:xfrm>
                    <a:prstGeom prst="rect">
                      <a:avLst/>
                    </a:prstGeom>
                  </pic:spPr>
                </pic:pic>
              </a:graphicData>
            </a:graphic>
          </wp:inline>
        </w:drawing>
      </w:r>
    </w:p>
    <w:p w14:paraId="43871682">
      <w:pPr>
        <w:spacing w:before="0" w:after="120" w:line="360" w:lineRule="auto"/>
        <w:jc w:val="center"/>
      </w:pPr>
      <w:r>
        <w:rPr>
          <w:rFonts w:ascii="宋体" w:hAnsi="宋体" w:eastAsia="宋体"/>
          <w:b/>
          <w:sz w:val="21"/>
        </w:rPr>
        <w:t>图9 Top10 街区房源水平条形图</w:t>
      </w:r>
    </w:p>
    <w:p w14:paraId="69E1A31D">
      <w:pPr>
        <w:spacing w:before="0" w:after="0" w:line="360" w:lineRule="auto"/>
        <w:ind w:firstLine="480"/>
        <w:jc w:val="left"/>
      </w:pPr>
      <w:r>
        <w:rPr>
          <w:rFonts w:ascii="宋体" w:hAnsi="宋体" w:eastAsia="宋体"/>
          <w:b w:val="0"/>
          <w:sz w:val="24"/>
        </w:rPr>
        <w:t>如图9所示，Bedford-Stuyvesant与Williamsburg房源数领先，均位于布鲁克林核心区域。Harlem、Hell's Kitchen、Upper West Side等曼哈顿街区紧随其后。Top10街区房源量合计占比可观，呈现出明显的空间集聚效应。热门街区往往是交通便利、文化特色突出或性价比高的区域，值得重点关注。</w:t>
      </w:r>
    </w:p>
    <w:p w14:paraId="2E6341ED">
      <w:pPr>
        <w:spacing w:before="120" w:after="0" w:line="360" w:lineRule="auto"/>
        <w:jc w:val="center"/>
      </w:pPr>
      <w:r>
        <w:drawing>
          <wp:inline distT="0" distB="0" distL="114300" distR="114300">
            <wp:extent cx="3599815" cy="2679700"/>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0"/>
                    <pic:cNvPicPr>
                      <a:picLocks noChangeAspect="1"/>
                    </pic:cNvPicPr>
                  </pic:nvPicPr>
                  <pic:blipFill>
                    <a:blip r:embed="rId20"/>
                    <a:stretch>
                      <a:fillRect/>
                    </a:stretch>
                  </pic:blipFill>
                  <pic:spPr>
                    <a:xfrm>
                      <a:off x="0" y="0"/>
                      <a:ext cx="3600000" cy="2679953"/>
                    </a:xfrm>
                    <a:prstGeom prst="rect">
                      <a:avLst/>
                    </a:prstGeom>
                  </pic:spPr>
                </pic:pic>
              </a:graphicData>
            </a:graphic>
          </wp:inline>
        </w:drawing>
      </w:r>
    </w:p>
    <w:p w14:paraId="10E8CC20">
      <w:pPr>
        <w:spacing w:before="0" w:after="120" w:line="360" w:lineRule="auto"/>
        <w:jc w:val="center"/>
      </w:pPr>
      <w:r>
        <w:rPr>
          <w:rFonts w:ascii="宋体" w:hAnsi="宋体" w:eastAsia="宋体"/>
          <w:b/>
          <w:sz w:val="21"/>
        </w:rPr>
        <w:t>图10 房型占比圆环图</w:t>
      </w:r>
    </w:p>
    <w:p w14:paraId="5127DCED">
      <w:pPr>
        <w:spacing w:before="0" w:after="0" w:line="360" w:lineRule="auto"/>
        <w:ind w:firstLine="480"/>
        <w:jc w:val="left"/>
      </w:pPr>
      <w:r>
        <w:rPr>
          <w:rFonts w:ascii="宋体" w:hAnsi="宋体" w:eastAsia="宋体"/>
          <w:b w:val="0"/>
          <w:sz w:val="24"/>
        </w:rPr>
        <w:t>如图10所示，Entire home/apt占比约52%，Private room约46%，Shared room不足2%。圆环图直观展示了三类房型的占比关系，中心留白可放置总量标注。整套与独立房间几乎平分秋色，共享房间边缘化，这一结构为平台房型策略与房东定位提供参考。</w:t>
      </w:r>
    </w:p>
    <w:p w14:paraId="44C4B661">
      <w:pPr>
        <w:spacing w:before="120" w:after="0" w:line="360" w:lineRule="auto"/>
        <w:jc w:val="center"/>
      </w:pPr>
      <w:r>
        <w:drawing>
          <wp:inline distT="0" distB="0" distL="114300" distR="114300">
            <wp:extent cx="3599815" cy="3191510"/>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1"/>
                    <pic:cNvPicPr>
                      <a:picLocks noChangeAspect="1"/>
                    </pic:cNvPicPr>
                  </pic:nvPicPr>
                  <pic:blipFill>
                    <a:blip r:embed="rId21"/>
                    <a:stretch>
                      <a:fillRect/>
                    </a:stretch>
                  </pic:blipFill>
                  <pic:spPr>
                    <a:xfrm>
                      <a:off x="0" y="0"/>
                      <a:ext cx="3600000" cy="3191841"/>
                    </a:xfrm>
                    <a:prstGeom prst="rect">
                      <a:avLst/>
                    </a:prstGeom>
                  </pic:spPr>
                </pic:pic>
              </a:graphicData>
            </a:graphic>
          </wp:inline>
        </w:drawing>
      </w:r>
    </w:p>
    <w:p w14:paraId="7895324B">
      <w:pPr>
        <w:spacing w:before="0" w:after="120" w:line="360" w:lineRule="auto"/>
        <w:jc w:val="center"/>
      </w:pPr>
      <w:r>
        <w:rPr>
          <w:rFonts w:ascii="宋体" w:hAnsi="宋体" w:eastAsia="宋体"/>
          <w:b/>
          <w:sz w:val="21"/>
        </w:rPr>
        <w:t>图11 聚类特征雷达图</w:t>
      </w:r>
    </w:p>
    <w:p w14:paraId="24915BAE">
      <w:pPr>
        <w:spacing w:before="0" w:after="0" w:line="360" w:lineRule="auto"/>
        <w:ind w:firstLine="480"/>
        <w:jc w:val="left"/>
      </w:pPr>
      <w:r>
        <w:rPr>
          <w:rFonts w:ascii="宋体" w:hAnsi="宋体" w:eastAsia="宋体"/>
          <w:b w:val="0"/>
          <w:sz w:val="24"/>
        </w:rPr>
        <w:t>如图11所示，K-Means四簇在价格、可住天数、评论数、评分四个维度上差异显著。簇1（经济型）价格低、可住天数高、评论数多；簇2（精品型）价格高、评分高、评论数适中；簇3（中端型）各维度均衡；簇4（大容量型）可住天数与评论数突出。雷达图清晰呈现各簇特征画像，为差异化运营策略提供直观依据。</w:t>
      </w:r>
    </w:p>
    <w:p w14:paraId="403FAE2F">
      <w:pPr>
        <w:spacing w:before="120" w:after="0" w:line="360" w:lineRule="auto"/>
        <w:jc w:val="center"/>
      </w:pPr>
      <w:r>
        <w:drawing>
          <wp:inline distT="0" distB="0" distL="114300" distR="114300">
            <wp:extent cx="5039995" cy="2074545"/>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2"/>
                    <pic:cNvPicPr>
                      <a:picLocks noChangeAspect="1"/>
                    </pic:cNvPicPr>
                  </pic:nvPicPr>
                  <pic:blipFill>
                    <a:blip r:embed="rId22"/>
                    <a:stretch>
                      <a:fillRect/>
                    </a:stretch>
                  </pic:blipFill>
                  <pic:spPr>
                    <a:xfrm>
                      <a:off x="0" y="0"/>
                      <a:ext cx="5040000" cy="2075045"/>
                    </a:xfrm>
                    <a:prstGeom prst="rect">
                      <a:avLst/>
                    </a:prstGeom>
                  </pic:spPr>
                </pic:pic>
              </a:graphicData>
            </a:graphic>
          </wp:inline>
        </w:drawing>
      </w:r>
    </w:p>
    <w:p w14:paraId="23A340D7">
      <w:pPr>
        <w:spacing w:before="0" w:after="120" w:line="360" w:lineRule="auto"/>
        <w:jc w:val="center"/>
      </w:pPr>
      <w:r>
        <w:rPr>
          <w:rFonts w:ascii="宋体" w:hAnsi="宋体" w:eastAsia="宋体"/>
          <w:b/>
          <w:sz w:val="21"/>
        </w:rPr>
        <w:t>图12 各月新增房东棒棒糖图</w:t>
      </w:r>
    </w:p>
    <w:p w14:paraId="1D978AE2">
      <w:pPr>
        <w:spacing w:before="0" w:after="0" w:line="360" w:lineRule="auto"/>
        <w:ind w:firstLine="480"/>
        <w:jc w:val="left"/>
      </w:pPr>
      <w:r>
        <w:rPr>
          <w:rFonts w:ascii="宋体" w:hAnsi="宋体" w:eastAsia="宋体"/>
          <w:b w:val="0"/>
          <w:sz w:val="24"/>
        </w:rPr>
        <w:t>如图12所示，各月新增房东数自2015年起波动增长，2019—2020年达到高峰后增速放缓。棒棒糖图以细杆+圆头的形式简洁展示各月数值，比传统柱形图更轻量。新增房东数反映市场供给侧扩张速度，近年增速放缓可能意味着市场趋于饱和或监管趋严。</w:t>
      </w:r>
    </w:p>
    <w:p w14:paraId="19C1A3D4">
      <w:pPr>
        <w:pStyle w:val="4"/>
        <w:spacing w:before="240" w:after="120" w:line="360" w:lineRule="auto"/>
      </w:pPr>
      <w:r>
        <w:rPr>
          <w:rFonts w:ascii="黑体" w:hAnsi="黑体" w:eastAsia="黑体"/>
          <w:b/>
          <w:sz w:val="28"/>
        </w:rPr>
        <w:t>5.3 业务模型图</w:t>
      </w:r>
    </w:p>
    <w:p w14:paraId="38A8823F">
      <w:pPr>
        <w:spacing w:before="0" w:after="0" w:line="360" w:lineRule="auto"/>
        <w:ind w:firstLine="480"/>
        <w:jc w:val="left"/>
      </w:pPr>
      <w:r>
        <w:rPr>
          <w:rFonts w:ascii="宋体" w:hAnsi="宋体" w:eastAsia="宋体"/>
          <w:b w:val="0"/>
          <w:sz w:val="24"/>
        </w:rPr>
        <w:t>针对五种商业模型绘制7张业务图（图13—图19），与第4章模型一一对应：K-Means聚类散点图、特征重要性条形图、定价预测残差图、房东价值分层图、地理价格散点图、街区帕累托图、评论趋势移动平均图。</w:t>
      </w:r>
    </w:p>
    <w:p w14:paraId="571C6531">
      <w:pPr>
        <w:spacing w:before="120" w:after="0" w:line="360" w:lineRule="auto"/>
        <w:jc w:val="center"/>
      </w:pPr>
      <w:r>
        <w:drawing>
          <wp:inline distT="0" distB="0" distL="114300" distR="114300">
            <wp:extent cx="3599815" cy="2531745"/>
            <wp:effectExtent l="0" t="0" r="6985" b="8255"/>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3"/>
                    <pic:cNvPicPr>
                      <a:picLocks noChangeAspect="1"/>
                    </pic:cNvPicPr>
                  </pic:nvPicPr>
                  <pic:blipFill>
                    <a:blip r:embed="rId23"/>
                    <a:stretch>
                      <a:fillRect/>
                    </a:stretch>
                  </pic:blipFill>
                  <pic:spPr>
                    <a:xfrm>
                      <a:off x="0" y="0"/>
                      <a:ext cx="3600000" cy="2531745"/>
                    </a:xfrm>
                    <a:prstGeom prst="rect">
                      <a:avLst/>
                    </a:prstGeom>
                  </pic:spPr>
                </pic:pic>
              </a:graphicData>
            </a:graphic>
          </wp:inline>
        </w:drawing>
      </w:r>
    </w:p>
    <w:p w14:paraId="593AFCAF">
      <w:pPr>
        <w:spacing w:before="0" w:after="120" w:line="360" w:lineRule="auto"/>
        <w:jc w:val="center"/>
      </w:pPr>
      <w:r>
        <w:rPr>
          <w:rFonts w:ascii="宋体" w:hAnsi="宋体" w:eastAsia="宋体"/>
          <w:b/>
          <w:sz w:val="21"/>
        </w:rPr>
        <w:t>图13 K-Means 聚类散点图</w:t>
      </w:r>
    </w:p>
    <w:p w14:paraId="5F627338">
      <w:pPr>
        <w:spacing w:before="0" w:after="0" w:line="360" w:lineRule="auto"/>
        <w:ind w:firstLine="480"/>
        <w:jc w:val="left"/>
      </w:pPr>
      <w:r>
        <w:rPr>
          <w:rFonts w:ascii="宋体" w:hAnsi="宋体" w:eastAsia="宋体"/>
          <w:b w:val="0"/>
          <w:sz w:val="24"/>
        </w:rPr>
        <w:t>如图13所示，K-Means四簇在地理空间上呈现明显分区特征。曼哈顿以高价值簇（精品型）为主，布鲁克林以经济型与中端型簇为主，布朗克斯集中大容量型簇。聚类结果与行政区高度吻合，验证了地理位置是房源分群的核心驱动因素。各簇空间分布为区域化运营策略提供直观参考。</w:t>
      </w:r>
    </w:p>
    <w:p w14:paraId="701EA4FB">
      <w:pPr>
        <w:spacing w:before="120" w:after="0" w:line="360" w:lineRule="auto"/>
        <w:jc w:val="center"/>
      </w:pPr>
      <w:r>
        <w:drawing>
          <wp:inline distT="0" distB="0" distL="114300" distR="114300">
            <wp:extent cx="4319905" cy="2934970"/>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14"/>
                    <pic:cNvPicPr>
                      <a:picLocks noChangeAspect="1"/>
                    </pic:cNvPicPr>
                  </pic:nvPicPr>
                  <pic:blipFill>
                    <a:blip r:embed="rId24"/>
                    <a:stretch>
                      <a:fillRect/>
                    </a:stretch>
                  </pic:blipFill>
                  <pic:spPr>
                    <a:xfrm>
                      <a:off x="0" y="0"/>
                      <a:ext cx="4320000" cy="2935149"/>
                    </a:xfrm>
                    <a:prstGeom prst="rect">
                      <a:avLst/>
                    </a:prstGeom>
                  </pic:spPr>
                </pic:pic>
              </a:graphicData>
            </a:graphic>
          </wp:inline>
        </w:drawing>
      </w:r>
    </w:p>
    <w:p w14:paraId="64D128BF">
      <w:pPr>
        <w:spacing w:before="0" w:after="120" w:line="360" w:lineRule="auto"/>
        <w:jc w:val="center"/>
      </w:pPr>
      <w:r>
        <w:rPr>
          <w:rFonts w:ascii="宋体" w:hAnsi="宋体" w:eastAsia="宋体"/>
          <w:b/>
          <w:sz w:val="21"/>
        </w:rPr>
        <w:t>图14 随机森林特征重要性条形图</w:t>
      </w:r>
    </w:p>
    <w:p w14:paraId="6C69AAC4">
      <w:pPr>
        <w:spacing w:before="0" w:after="0" w:line="360" w:lineRule="auto"/>
        <w:ind w:firstLine="480"/>
        <w:jc w:val="left"/>
      </w:pPr>
      <w:r>
        <w:rPr>
          <w:rFonts w:ascii="宋体" w:hAnsi="宋体" w:eastAsia="宋体"/>
          <w:b w:val="0"/>
          <w:sz w:val="24"/>
        </w:rPr>
        <w:t>如图14所示，随机森林模型中房型、行政区、可住天数为定价预测最重要特征，经纬度与可容纳人数次之，评分重要性较低。这说明定价主要由房源属性与地理位置驱动，而非评分口碑。特征重要性排序为房东优化定价提供了可操作的方向：房型定位与区域选择比提升评分更能影响价格。</w:t>
      </w:r>
    </w:p>
    <w:p w14:paraId="2203DB1F">
      <w:pPr>
        <w:spacing w:before="120" w:after="0" w:line="360" w:lineRule="auto"/>
        <w:jc w:val="center"/>
      </w:pPr>
      <w:r>
        <w:drawing>
          <wp:inline distT="0" distB="0" distL="114300" distR="114300">
            <wp:extent cx="3866515" cy="2670175"/>
            <wp:effectExtent l="0" t="0" r="6985" b="9525"/>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15"/>
                    <pic:cNvPicPr>
                      <a:picLocks noChangeAspect="1"/>
                    </pic:cNvPicPr>
                  </pic:nvPicPr>
                  <pic:blipFill>
                    <a:blip r:embed="rId25"/>
                    <a:stretch>
                      <a:fillRect/>
                    </a:stretch>
                  </pic:blipFill>
                  <pic:spPr>
                    <a:xfrm>
                      <a:off x="0" y="0"/>
                      <a:ext cx="3866515" cy="2670175"/>
                    </a:xfrm>
                    <a:prstGeom prst="rect">
                      <a:avLst/>
                    </a:prstGeom>
                  </pic:spPr>
                </pic:pic>
              </a:graphicData>
            </a:graphic>
          </wp:inline>
        </w:drawing>
      </w:r>
    </w:p>
    <w:p w14:paraId="058F59F6">
      <w:pPr>
        <w:spacing w:before="0" w:after="120" w:line="360" w:lineRule="auto"/>
        <w:jc w:val="center"/>
      </w:pPr>
      <w:r>
        <w:rPr>
          <w:rFonts w:ascii="宋体" w:hAnsi="宋体" w:eastAsia="宋体"/>
          <w:b/>
          <w:sz w:val="21"/>
        </w:rPr>
        <w:t>图15 定价预测残差图</w:t>
      </w:r>
    </w:p>
    <w:p w14:paraId="72B2AB98">
      <w:pPr>
        <w:spacing w:before="0" w:after="0" w:line="360" w:lineRule="auto"/>
        <w:ind w:firstLine="480"/>
        <w:jc w:val="left"/>
      </w:pPr>
      <w:r>
        <w:rPr>
          <w:rFonts w:ascii="宋体" w:hAnsi="宋体" w:eastAsia="宋体"/>
          <w:b w:val="0"/>
          <w:sz w:val="24"/>
        </w:rPr>
        <w:t>如图15所示，随机森林预测值与实际值总体沿对角线分布，趋势一致。低价区间预测精度较高，高价区域存在一定低估，残差随价格增大而发散。这表明模型对主流价位房源解释力强，对极端高价房源预测能力有限，可能需要引入更多特征或非线性变换来改善高端市场预测精度。</w:t>
      </w:r>
    </w:p>
    <w:p w14:paraId="0879913D">
      <w:pPr>
        <w:spacing w:before="120" w:after="0" w:line="360" w:lineRule="auto"/>
        <w:jc w:val="center"/>
      </w:pPr>
      <w:r>
        <w:drawing>
          <wp:inline distT="0" distB="0" distL="114300" distR="114300">
            <wp:extent cx="5039995" cy="2494280"/>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Picture 16"/>
                    <pic:cNvPicPr>
                      <a:picLocks noChangeAspect="1"/>
                    </pic:cNvPicPr>
                  </pic:nvPicPr>
                  <pic:blipFill>
                    <a:blip r:embed="rId26"/>
                    <a:stretch>
                      <a:fillRect/>
                    </a:stretch>
                  </pic:blipFill>
                  <pic:spPr>
                    <a:xfrm>
                      <a:off x="0" y="0"/>
                      <a:ext cx="5040000" cy="2494545"/>
                    </a:xfrm>
                    <a:prstGeom prst="rect">
                      <a:avLst/>
                    </a:prstGeom>
                  </pic:spPr>
                </pic:pic>
              </a:graphicData>
            </a:graphic>
          </wp:inline>
        </w:drawing>
      </w:r>
    </w:p>
    <w:p w14:paraId="6D014DFA">
      <w:pPr>
        <w:spacing w:before="0" w:after="120" w:line="360" w:lineRule="auto"/>
        <w:jc w:val="center"/>
      </w:pPr>
      <w:r>
        <w:rPr>
          <w:rFonts w:ascii="宋体" w:hAnsi="宋体" w:eastAsia="宋体"/>
          <w:b/>
          <w:sz w:val="21"/>
        </w:rPr>
        <w:t>图16 房东价值分层图</w:t>
      </w:r>
    </w:p>
    <w:p w14:paraId="2BF6B526">
      <w:pPr>
        <w:spacing w:before="0" w:after="0" w:line="360" w:lineRule="auto"/>
        <w:ind w:firstLine="480"/>
        <w:jc w:val="left"/>
      </w:pPr>
      <w:r>
        <w:rPr>
          <w:rFonts w:ascii="宋体" w:hAnsi="宋体" w:eastAsia="宋体"/>
          <w:b w:val="0"/>
          <w:sz w:val="24"/>
        </w:rPr>
        <w:t>如图16所示，RFM八分群中重要价值房东2,210人，平均M值最高，是平台收入的核心支柱。重要保持与重要发展房东次之，具有提升潜力。一般与挽留房东人数多但贡献低。分层结果为差异化运营提供精准靶点：对重要价值房东应优先维护激励，对挽留房东设计召回策略，对一般房东推动升级转化。</w:t>
      </w:r>
    </w:p>
    <w:p w14:paraId="7EE59034">
      <w:pPr>
        <w:spacing w:before="120" w:after="0" w:line="360" w:lineRule="auto"/>
        <w:jc w:val="center"/>
      </w:pPr>
      <w:r>
        <w:drawing>
          <wp:inline distT="0" distB="0" distL="114300" distR="114300">
            <wp:extent cx="3599815" cy="2996565"/>
            <wp:effectExtent l="0" t="0" r="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17"/>
                    <pic:cNvPicPr>
                      <a:picLocks noChangeAspect="1"/>
                    </pic:cNvPicPr>
                  </pic:nvPicPr>
                  <pic:blipFill>
                    <a:blip r:embed="rId27"/>
                    <a:stretch>
                      <a:fillRect/>
                    </a:stretch>
                  </pic:blipFill>
                  <pic:spPr>
                    <a:xfrm>
                      <a:off x="0" y="0"/>
                      <a:ext cx="3600000" cy="2996832"/>
                    </a:xfrm>
                    <a:prstGeom prst="rect">
                      <a:avLst/>
                    </a:prstGeom>
                  </pic:spPr>
                </pic:pic>
              </a:graphicData>
            </a:graphic>
          </wp:inline>
        </w:drawing>
      </w:r>
    </w:p>
    <w:p w14:paraId="16FC70BD">
      <w:pPr>
        <w:spacing w:before="0" w:after="120" w:line="360" w:lineRule="auto"/>
        <w:jc w:val="center"/>
      </w:pPr>
      <w:r>
        <w:rPr>
          <w:rFonts w:ascii="宋体" w:hAnsi="宋体" w:eastAsia="宋体"/>
          <w:b/>
          <w:sz w:val="21"/>
        </w:rPr>
        <w:t>图17 地理价格散点图</w:t>
      </w:r>
    </w:p>
    <w:p w14:paraId="24674D74">
      <w:pPr>
        <w:spacing w:before="0" w:after="0" w:line="360" w:lineRule="auto"/>
        <w:ind w:firstLine="480"/>
        <w:jc w:val="left"/>
      </w:pPr>
      <w:r>
        <w:rPr>
          <w:rFonts w:ascii="宋体" w:hAnsi="宋体" w:eastAsia="宋体"/>
          <w:b w:val="0"/>
          <w:sz w:val="24"/>
        </w:rPr>
        <w:t>如图17所示，房源价格在地理空间上呈显著梯度分布。曼哈顿中南部价格最高，形成明显的价格高地；布鲁克林沿河区域次之；皇后区与布朗克斯价格较低。价格高地与交通枢纽、旅游景点高度重合，验证了区位对短租定价的决定性作用。该图为大屏地理组件提供了底层数据支撑。</w:t>
      </w:r>
    </w:p>
    <w:p w14:paraId="4462FD4E">
      <w:pPr>
        <w:spacing w:before="120" w:after="0" w:line="360" w:lineRule="auto"/>
        <w:jc w:val="center"/>
      </w:pPr>
      <w:r>
        <w:drawing>
          <wp:inline distT="0" distB="0" distL="114300" distR="114300">
            <wp:extent cx="5039995" cy="2291715"/>
            <wp:effectExtent l="0" t="0" r="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Picture 18"/>
                    <pic:cNvPicPr>
                      <a:picLocks noChangeAspect="1"/>
                    </pic:cNvPicPr>
                  </pic:nvPicPr>
                  <pic:blipFill>
                    <a:blip r:embed="rId28"/>
                    <a:stretch>
                      <a:fillRect/>
                    </a:stretch>
                  </pic:blipFill>
                  <pic:spPr>
                    <a:xfrm>
                      <a:off x="0" y="0"/>
                      <a:ext cx="5040000" cy="2291808"/>
                    </a:xfrm>
                    <a:prstGeom prst="rect">
                      <a:avLst/>
                    </a:prstGeom>
                  </pic:spPr>
                </pic:pic>
              </a:graphicData>
            </a:graphic>
          </wp:inline>
        </w:drawing>
      </w:r>
    </w:p>
    <w:p w14:paraId="73AFB38C">
      <w:pPr>
        <w:spacing w:before="0" w:after="120" w:line="360" w:lineRule="auto"/>
        <w:jc w:val="center"/>
      </w:pPr>
      <w:r>
        <w:rPr>
          <w:rFonts w:ascii="宋体" w:hAnsi="宋体" w:eastAsia="宋体"/>
          <w:b/>
          <w:sz w:val="21"/>
        </w:rPr>
        <w:t>图18 街区帕累托图</w:t>
      </w:r>
    </w:p>
    <w:p w14:paraId="6773F9BE">
      <w:pPr>
        <w:spacing w:before="0" w:after="0" w:line="360" w:lineRule="auto"/>
        <w:ind w:firstLine="480"/>
        <w:jc w:val="left"/>
      </w:pPr>
      <w:r>
        <w:rPr>
          <w:rFonts w:ascii="宋体" w:hAnsi="宋体" w:eastAsia="宋体"/>
          <w:b w:val="0"/>
          <w:sz w:val="24"/>
        </w:rPr>
        <w:t>如图18所示，按街区房源数降序排列，A类20个街区贡献69.0%房源量，B类约30个街区贡献20%，C类其余街区贡献11%。累计曲线在前20个街区处斜率最陡，随后迅速放缓，符合帕累托二八定律。运营资源应优先投入A类街区，以最小覆盖面获取最大市场触达，提升运营效率。</w:t>
      </w:r>
    </w:p>
    <w:p w14:paraId="0613E2B4">
      <w:pPr>
        <w:spacing w:before="120" w:after="0" w:line="360" w:lineRule="auto"/>
        <w:jc w:val="center"/>
      </w:pPr>
      <w:r>
        <w:drawing>
          <wp:inline distT="0" distB="0" distL="114300" distR="114300">
            <wp:extent cx="5039995" cy="2286635"/>
            <wp:effectExtent l="0" t="0" r="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Picture 19"/>
                    <pic:cNvPicPr>
                      <a:picLocks noChangeAspect="1"/>
                    </pic:cNvPicPr>
                  </pic:nvPicPr>
                  <pic:blipFill>
                    <a:blip r:embed="rId29"/>
                    <a:stretch>
                      <a:fillRect/>
                    </a:stretch>
                  </pic:blipFill>
                  <pic:spPr>
                    <a:xfrm>
                      <a:off x="0" y="0"/>
                      <a:ext cx="5040000" cy="2286928"/>
                    </a:xfrm>
                    <a:prstGeom prst="rect">
                      <a:avLst/>
                    </a:prstGeom>
                  </pic:spPr>
                </pic:pic>
              </a:graphicData>
            </a:graphic>
          </wp:inline>
        </w:drawing>
      </w:r>
    </w:p>
    <w:p w14:paraId="4B6B7616">
      <w:pPr>
        <w:spacing w:before="0" w:after="120" w:line="360" w:lineRule="auto"/>
        <w:jc w:val="center"/>
      </w:pPr>
      <w:r>
        <w:rPr>
          <w:rFonts w:ascii="宋体" w:hAnsi="宋体" w:eastAsia="宋体"/>
          <w:b/>
          <w:sz w:val="21"/>
        </w:rPr>
        <w:t>图19 评论趋势移动平均图</w:t>
      </w:r>
    </w:p>
    <w:p w14:paraId="594B42A7">
      <w:pPr>
        <w:spacing w:before="0" w:after="0" w:line="360" w:lineRule="auto"/>
        <w:ind w:firstLine="480"/>
        <w:jc w:val="left"/>
      </w:pPr>
      <w:r>
        <w:rPr>
          <w:rFonts w:ascii="宋体" w:hAnsi="宋体" w:eastAsia="宋体"/>
          <w:b w:val="0"/>
          <w:sz w:val="24"/>
        </w:rPr>
        <w:t>如图19所示，3月移动平均线平滑了月度波动，清晰呈现评论数长期上升趋势。原始月度数据存在季节性波动（夏季高峰、冬季低谷），移动平均滤除噪声后趋势更为明朗。近24月移动均值持续攀升，反映市场活跃度稳步提升。该图为时序预测与市场周期判断提供了平滑的趋势基准。</w:t>
      </w:r>
    </w:p>
    <w:p w14:paraId="31645228">
      <w:pPr>
        <w:pStyle w:val="4"/>
        <w:spacing w:before="240" w:after="120" w:line="360" w:lineRule="auto"/>
      </w:pPr>
      <w:r>
        <w:rPr>
          <w:rFonts w:ascii="黑体" w:hAnsi="黑体" w:eastAsia="黑体"/>
          <w:b/>
          <w:sz w:val="28"/>
        </w:rPr>
        <w:t>5.4 交互式可视化大屏</w:t>
      </w:r>
    </w:p>
    <w:p w14:paraId="04CB1992">
      <w:pPr>
        <w:spacing w:before="120" w:after="0" w:line="360" w:lineRule="auto"/>
        <w:jc w:val="center"/>
      </w:pPr>
      <w:r>
        <w:drawing>
          <wp:inline distT="0" distB="0" distL="114300" distR="114300">
            <wp:extent cx="4980940" cy="3217545"/>
            <wp:effectExtent l="0" t="0" r="10160" b="8255"/>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Picture 20"/>
                    <pic:cNvPicPr>
                      <a:picLocks noChangeAspect="1"/>
                    </pic:cNvPicPr>
                  </pic:nvPicPr>
                  <pic:blipFill>
                    <a:blip r:embed="rId30"/>
                    <a:stretch>
                      <a:fillRect/>
                    </a:stretch>
                  </pic:blipFill>
                  <pic:spPr>
                    <a:xfrm>
                      <a:off x="0" y="0"/>
                      <a:ext cx="4980940" cy="3217545"/>
                    </a:xfrm>
                    <a:prstGeom prst="rect">
                      <a:avLst/>
                    </a:prstGeom>
                  </pic:spPr>
                </pic:pic>
              </a:graphicData>
            </a:graphic>
          </wp:inline>
        </w:drawing>
      </w:r>
    </w:p>
    <w:p w14:paraId="08C31873">
      <w:pPr>
        <w:spacing w:before="0" w:after="120" w:line="360" w:lineRule="auto"/>
        <w:jc w:val="center"/>
      </w:pPr>
      <w:r>
        <w:rPr>
          <w:rFonts w:ascii="宋体" w:hAnsi="宋体" w:eastAsia="宋体"/>
          <w:b/>
          <w:sz w:val="21"/>
        </w:rPr>
        <w:t>图20 纽约 Airbnb 数据可视化大屏</w:t>
      </w:r>
    </w:p>
    <w:p w14:paraId="2AA390DA">
      <w:pPr>
        <w:spacing w:before="0" w:after="0" w:line="360" w:lineRule="auto"/>
        <w:ind w:firstLine="480"/>
        <w:jc w:val="left"/>
      </w:pPr>
      <w:r>
        <w:rPr>
          <w:rFonts w:ascii="宋体" w:hAnsi="宋体" w:eastAsia="宋体"/>
          <w:b w:val="0"/>
          <w:sz w:val="24"/>
        </w:rPr>
        <w:t>如图20所示，大屏整合6个KPI指标卡、行政区分布柱形图、房型价格箱线图、地理价格散点图与Top10高价房源表等组件。大屏基于Streamlit实现，包含行政区、房型、价格三个联动筛选器，所有组件随筛选条件实时更新。大屏以单一视图全景呈现纽约Airbnb市场全貌，支持交互式探索与下钻分析，满足组件数≥6且全部联动的作业要求。</w:t>
      </w:r>
    </w:p>
    <w:p w14:paraId="66C7C24D">
      <w:pPr>
        <w:spacing w:before="0" w:after="0" w:line="360" w:lineRule="auto"/>
        <w:ind w:firstLine="480"/>
        <w:jc w:val="left"/>
      </w:pPr>
      <w:r>
        <w:rPr>
          <w:rFonts w:ascii="宋体" w:hAnsi="宋体" w:eastAsia="宋体"/>
          <w:b w:val="0"/>
          <w:sz w:val="24"/>
        </w:rPr>
        <w:t>大屏基于Streamlit实现，包含行政区、房型、价格三个联动筛选器，4个KPI指标卡，街区房源柱形图、房型价格箱线图、价格-评论散点图与Top10高价房源表，组件数≥6且全部联动，全Python实现，未使用Power BI/Tableau。</w:t>
      </w:r>
    </w:p>
    <w:p w14:paraId="48C7AD7D">
      <w:pPr>
        <w:pStyle w:val="3"/>
        <w:spacing w:before="360" w:after="120" w:line="360" w:lineRule="auto"/>
        <w:jc w:val="left"/>
      </w:pPr>
      <w:r>
        <w:rPr>
          <w:rFonts w:ascii="黑体" w:hAnsi="黑体" w:eastAsia="黑体"/>
          <w:b/>
          <w:sz w:val="32"/>
        </w:rPr>
        <w:t>六、商业案例分析</w:t>
      </w:r>
    </w:p>
    <w:p w14:paraId="407618C1">
      <w:pPr>
        <w:pStyle w:val="4"/>
        <w:spacing w:before="240" w:after="120" w:line="360" w:lineRule="auto"/>
      </w:pPr>
      <w:r>
        <w:rPr>
          <w:rFonts w:ascii="黑体" w:hAnsi="黑体" w:eastAsia="黑体"/>
          <w:b/>
          <w:sz w:val="28"/>
        </w:rPr>
        <w:t>6.1 案例背景</w:t>
      </w:r>
    </w:p>
    <w:p w14:paraId="1500E035">
      <w:pPr>
        <w:spacing w:before="0" w:after="0" w:line="360" w:lineRule="auto"/>
        <w:ind w:firstLine="480"/>
        <w:jc w:val="left"/>
      </w:pPr>
      <w:r>
        <w:rPr>
          <w:rFonts w:ascii="宋体" w:hAnsi="宋体" w:eastAsia="宋体"/>
          <w:b w:val="0"/>
          <w:sz w:val="24"/>
        </w:rPr>
        <w:t>纽约Airbnb市场拥有19,203条活跃房源，分布在5个行政区、223个街区。平均价格$271/晚，不同行政区与房型间价格差异显著，房东定价缺乏数据参考，平台运营需精细化抓手。</w:t>
      </w:r>
    </w:p>
    <w:p w14:paraId="38BAD831">
      <w:pPr>
        <w:pStyle w:val="4"/>
        <w:spacing w:before="240" w:after="120" w:line="360" w:lineRule="auto"/>
      </w:pPr>
      <w:r>
        <w:rPr>
          <w:rFonts w:ascii="黑体" w:hAnsi="黑体" w:eastAsia="黑体"/>
          <w:b/>
          <w:sz w:val="28"/>
        </w:rPr>
        <w:t>6.2 结果解读</w:t>
      </w:r>
    </w:p>
    <w:p w14:paraId="2FC67B94">
      <w:pPr>
        <w:spacing w:before="0" w:after="0" w:line="360" w:lineRule="auto"/>
        <w:ind w:firstLine="480"/>
        <w:jc w:val="left"/>
      </w:pPr>
      <w:r>
        <w:rPr>
          <w:rFonts w:ascii="宋体" w:hAnsi="宋体" w:eastAsia="宋体"/>
          <w:b w:val="0"/>
          <w:sz w:val="24"/>
        </w:rPr>
        <w:t>K-Means聚类将房源分为4个差异化群体，曼哈顿以高价值簇为主；随机森林模型揭示房型与行政区是定价核心因素；RFM分析识别出重要价值房东群体；帕累托分析显示A类20个街区贡献69.0%房源量；时序分析表明市场呈持续扩张态势。</w:t>
      </w:r>
    </w:p>
    <w:p w14:paraId="738E4EA8">
      <w:pPr>
        <w:spacing w:before="0" w:after="0" w:line="360" w:lineRule="auto"/>
        <w:ind w:firstLine="480"/>
        <w:jc w:val="left"/>
      </w:pPr>
      <w:r>
        <w:rPr>
          <w:rFonts w:ascii="宋体" w:hAnsi="宋体" w:eastAsia="宋体"/>
          <w:b w:val="0"/>
          <w:sz w:val="24"/>
        </w:rPr>
        <w:t>深入解读各模型结果：（1）K-Means的4个簇中，经济型簇（5,510条）以低价高可住天数为特征，适合长租客群；精品簇（2,744条）高价高评分，定位高端旅游市场。（2）随机森林特征重要性显示房型和行政区贡献最大，经纬度次之，说明地理位置与房型类型是定价的两大核心维度。（3）RFM八分群中，重要价值房东虽然人数占比不高，但贡献了最高的平均M值，是平台收入的核心支柱。（4）帕累托分析中A类20个街区主要集中在曼哈顿与布鲁克林核心区域，验证了短租市场的空间集聚效应。（5）时序分析显示近24月评论数持续上升，反映市场需求旺盛、活跃度提升。</w:t>
      </w:r>
    </w:p>
    <w:p w14:paraId="71043959">
      <w:pPr>
        <w:pStyle w:val="4"/>
        <w:spacing w:before="240" w:after="120" w:line="360" w:lineRule="auto"/>
      </w:pPr>
      <w:r>
        <w:rPr>
          <w:rFonts w:ascii="黑体" w:hAnsi="黑体" w:eastAsia="黑体"/>
          <w:b/>
          <w:sz w:val="28"/>
        </w:rPr>
        <w:t>6.3 商业建议</w:t>
      </w:r>
    </w:p>
    <w:p w14:paraId="33C6F964">
      <w:pPr>
        <w:spacing w:before="0" w:after="0" w:line="360" w:lineRule="auto"/>
        <w:ind w:firstLine="480"/>
        <w:jc w:val="left"/>
      </w:pPr>
      <w:r>
        <w:rPr>
          <w:rFonts w:ascii="宋体" w:hAnsi="宋体" w:eastAsia="宋体"/>
          <w:b w:val="0"/>
          <w:sz w:val="24"/>
        </w:rPr>
        <w:t>（1）聚焦高密度行政区定价优化。曼哈顿与布鲁克林房源密度最高，平均价格$271，建议房东参考同行政区同房型中位数定价，避免偏离市场。</w:t>
      </w:r>
    </w:p>
    <w:p w14:paraId="6AC6D1ED">
      <w:pPr>
        <w:spacing w:before="0" w:after="0" w:line="360" w:lineRule="auto"/>
        <w:ind w:firstLine="480"/>
        <w:jc w:val="left"/>
      </w:pPr>
      <w:r>
        <w:rPr>
          <w:rFonts w:ascii="宋体" w:hAnsi="宋体" w:eastAsia="宋体"/>
          <w:b w:val="0"/>
          <w:sz w:val="24"/>
        </w:rPr>
        <w:t>（2）提升超级房东比例。超级房东在评分与出租率上显著占优，建议平台加强房东培训与激励，提高响应率与房源质量。</w:t>
      </w:r>
    </w:p>
    <w:p w14:paraId="23180654">
      <w:pPr>
        <w:spacing w:before="0" w:after="0" w:line="360" w:lineRule="auto"/>
        <w:ind w:firstLine="480"/>
        <w:jc w:val="left"/>
      </w:pPr>
      <w:r>
        <w:rPr>
          <w:rFonts w:ascii="宋体" w:hAnsi="宋体" w:eastAsia="宋体"/>
          <w:b w:val="0"/>
          <w:sz w:val="24"/>
        </w:rPr>
        <w:t>（3）差异化房型策略。整套房源均价最高，独立房间次之，共享房间最低；房东可根据房源条件选择最优房型定位，最大化收益。</w:t>
      </w:r>
    </w:p>
    <w:p w14:paraId="5ABF04AC">
      <w:pPr>
        <w:spacing w:before="0" w:after="0" w:line="360" w:lineRule="auto"/>
        <w:ind w:firstLine="480"/>
        <w:jc w:val="left"/>
      </w:pPr>
      <w:r>
        <w:rPr>
          <w:rFonts w:ascii="宋体" w:hAnsi="宋体" w:eastAsia="宋体"/>
          <w:b w:val="0"/>
          <w:sz w:val="24"/>
        </w:rPr>
        <w:t>（4）重视评分与评论管理。评分与评论数对入住率有正向影响，建议房东主动维护好评、及时回应差评，提升房源曝光与转化。</w:t>
      </w:r>
    </w:p>
    <w:p w14:paraId="36691B25">
      <w:pPr>
        <w:spacing w:before="0" w:after="0" w:line="360" w:lineRule="auto"/>
        <w:ind w:firstLine="480"/>
        <w:jc w:val="left"/>
      </w:pPr>
      <w:r>
        <w:rPr>
          <w:rFonts w:ascii="宋体" w:hAnsi="宋体" w:eastAsia="宋体"/>
          <w:b w:val="0"/>
          <w:sz w:val="24"/>
        </w:rPr>
        <w:t>（5）应用RFM与ABC结果精准营销。针对重要价值房东与A类街区加大资源投入，对重要挽留房东设计召回策略，提升平台整体收入。</w:t>
      </w:r>
    </w:p>
    <w:p w14:paraId="776AD08C">
      <w:pPr>
        <w:pStyle w:val="3"/>
        <w:spacing w:before="360" w:after="120" w:line="360" w:lineRule="auto"/>
        <w:jc w:val="left"/>
      </w:pPr>
      <w:r>
        <w:rPr>
          <w:rFonts w:ascii="黑体" w:hAnsi="黑体" w:eastAsia="黑体"/>
          <w:b/>
          <w:sz w:val="32"/>
        </w:rPr>
        <w:t>七、结论与展望</w:t>
      </w:r>
    </w:p>
    <w:p w14:paraId="6980394F">
      <w:pPr>
        <w:pStyle w:val="4"/>
        <w:spacing w:before="240" w:after="120" w:line="360" w:lineRule="auto"/>
      </w:pPr>
      <w:r>
        <w:rPr>
          <w:rFonts w:ascii="黑体" w:hAnsi="黑体" w:eastAsia="黑体"/>
          <w:b/>
          <w:sz w:val="28"/>
        </w:rPr>
        <w:t>7.1 研究结论</w:t>
      </w:r>
    </w:p>
    <w:p w14:paraId="121782F2">
      <w:pPr>
        <w:spacing w:before="0" w:after="0" w:line="360" w:lineRule="auto"/>
        <w:ind w:firstLine="480"/>
        <w:jc w:val="left"/>
      </w:pPr>
      <w:r>
        <w:rPr>
          <w:rFonts w:ascii="宋体" w:hAnsi="宋体" w:eastAsia="宋体"/>
          <w:b w:val="0"/>
          <w:sz w:val="24"/>
        </w:rPr>
        <w:t>本文以纽约Airbnb数据为对象，完成了从数据获取、清洗治理、商业建模到可视化与大屏搭建的全流程分析。研究应用了K-Means、随机森林、RFM、帕累托与时序趋势五种模型，复现12种图表模板并绘制7张业务图，最终整合为交互式数据大屏。结果表明，行政区与房型是定价的核心影响因素，超级房东在多维度指标上表现更优，少数高价值房东与A类街区贡献了主要房源量与收入。</w:t>
      </w:r>
    </w:p>
    <w:p w14:paraId="7641B57C">
      <w:pPr>
        <w:spacing w:before="0" w:after="0" w:line="360" w:lineRule="auto"/>
        <w:ind w:firstLine="480"/>
        <w:jc w:val="left"/>
      </w:pPr>
      <w:r>
        <w:rPr>
          <w:rFonts w:ascii="宋体" w:hAnsi="宋体" w:eastAsia="宋体"/>
          <w:b w:val="0"/>
          <w:sz w:val="24"/>
        </w:rPr>
        <w:t>具体结论如下：（1）纽约Airbnb市场呈高度空间集聚特征，曼哈顿与布鲁克林合计超80%房源，A类20个街区贡献69.0%房源量，符合帕累托二八定律。（2）定价受房型与行政区双重驱动，Entire home均价显著高于Private room，曼哈顿均价约为布朗克斯的3倍。（3）随机森林模型R²=0.63，能解释63%的价格变异，房型、行政区、可住天数为三大重要特征。（4）K-Means将房源分为4个差异化群体，各簇在价格、可住天数、评论数上差异显著，为差异化运营提供依据。（5）RFM分析识别出重要价值房东群体，应优先运营维护；时序分析显示市场呈持续扩张态势，近24月活跃度稳步提升。</w:t>
      </w:r>
    </w:p>
    <w:p w14:paraId="2E95E6D3">
      <w:pPr>
        <w:pStyle w:val="4"/>
        <w:spacing w:before="240" w:after="120" w:line="360" w:lineRule="auto"/>
      </w:pPr>
      <w:r>
        <w:rPr>
          <w:rFonts w:ascii="黑体" w:hAnsi="黑体" w:eastAsia="黑体"/>
          <w:b/>
          <w:sz w:val="28"/>
        </w:rPr>
        <w:t>7.2 局限性与展望</w:t>
      </w:r>
    </w:p>
    <w:p w14:paraId="1FAB7A4A">
      <w:pPr>
        <w:spacing w:before="0" w:after="0" w:line="360" w:lineRule="auto"/>
        <w:ind w:firstLine="480"/>
        <w:jc w:val="left"/>
      </w:pPr>
      <w:r>
        <w:rPr>
          <w:rFonts w:ascii="宋体" w:hAnsi="宋体" w:eastAsia="宋体"/>
          <w:b w:val="0"/>
          <w:sz w:val="24"/>
        </w:rPr>
        <w:t>本文局限在于：（1）数据为截面快照，未追踪房源价格时序变化；（2）随机森林模型R²=0.63，仍有提升空间；（3）未利用房源描述文本信息。未来工作可引入自然语言处理分析房源描述、结合外部天气与事件数据提升预测精度，并探索深度学习模型以刻画更复杂的定价非线性关系。</w:t>
      </w:r>
    </w:p>
    <w:p w14:paraId="5FC88696">
      <w:pPr>
        <w:pStyle w:val="4"/>
        <w:spacing w:before="240" w:after="120" w:line="360" w:lineRule="auto"/>
      </w:pPr>
      <w:r>
        <w:rPr>
          <w:rFonts w:ascii="黑体" w:hAnsi="黑体" w:eastAsia="黑体"/>
          <w:b/>
          <w:sz w:val="28"/>
        </w:rPr>
        <w:t>7.3 AI使用披露</w:t>
      </w:r>
    </w:p>
    <w:p w14:paraId="535598D0">
      <w:pPr>
        <w:spacing w:before="0" w:after="0" w:line="360" w:lineRule="auto"/>
        <w:ind w:firstLine="480"/>
        <w:jc w:val="left"/>
      </w:pPr>
      <w:r>
        <w:rPr>
          <w:rFonts w:ascii="宋体" w:hAnsi="宋体" w:eastAsia="宋体"/>
          <w:b w:val="0"/>
          <w:sz w:val="24"/>
        </w:rPr>
        <w:t>本文在代码编写、图表生成与论文排版过程中使用了AI辅助工具（CodeArts智能体，GLM-5.2模型）。使用环节：数据清洗脚本、可视化绘图代码、Streamlit大屏代码、python-docx论文生成脚本的编写与调试。关键提示词示例：根据要求及评分标准与模板文档，完成纽约Airbnb数据端到端商业数据分析项目。所有分析思路、模型选择、结论解读与商业建议均由作者独立完成，AI仅作为编程辅助工具。</w:t>
      </w:r>
    </w:p>
    <w:p w14:paraId="56FE453E">
      <w:pPr>
        <w:pStyle w:val="3"/>
        <w:spacing w:before="360" w:after="120" w:line="360" w:lineRule="auto"/>
        <w:jc w:val="left"/>
      </w:pPr>
      <w:r>
        <w:rPr>
          <w:rFonts w:ascii="黑体" w:hAnsi="黑体" w:eastAsia="黑体"/>
          <w:b/>
          <w:sz w:val="32"/>
        </w:rPr>
        <w:t>参考文献</w:t>
      </w:r>
    </w:p>
    <w:p w14:paraId="14305FA9">
      <w:pPr>
        <w:spacing w:before="0" w:after="0" w:line="360" w:lineRule="auto"/>
        <w:jc w:val="left"/>
      </w:pPr>
      <w:r>
        <w:rPr>
          <w:rFonts w:ascii="宋体" w:hAnsi="宋体" w:eastAsia="宋体"/>
          <w:b w:val="0"/>
          <w:sz w:val="21"/>
        </w:rPr>
        <w:t>[1] Inside Airbnb. New York City Airbnb Open Data[EB/OL]. http://insideairbnb.com.</w:t>
      </w:r>
    </w:p>
    <w:p w14:paraId="2AC3EA8E">
      <w:pPr>
        <w:spacing w:before="0" w:after="0" w:line="360" w:lineRule="auto"/>
        <w:jc w:val="left"/>
      </w:pPr>
      <w:r>
        <w:rPr>
          <w:rFonts w:ascii="宋体" w:hAnsi="宋体" w:eastAsia="宋体"/>
          <w:b w:val="0"/>
          <w:sz w:val="21"/>
        </w:rPr>
        <w:t>[2] McKinney W. Python for Data Analysis[M]. O'Reilly Media, 2017.</w:t>
      </w:r>
    </w:p>
    <w:p w14:paraId="2ECAA76D">
      <w:pPr>
        <w:spacing w:before="0" w:after="0" w:line="360" w:lineRule="auto"/>
        <w:jc w:val="left"/>
      </w:pPr>
      <w:r>
        <w:rPr>
          <w:rFonts w:ascii="宋体" w:hAnsi="宋体" w:eastAsia="宋体"/>
          <w:b w:val="0"/>
          <w:sz w:val="21"/>
        </w:rPr>
        <w:t>[3] Pedregosa F, et al. Scikit-learn: Machine Learning in Python[J]. JMLR, 2011, 12: 2825-2830.</w:t>
      </w:r>
    </w:p>
    <w:p w14:paraId="7BA6FFB8">
      <w:pPr>
        <w:spacing w:before="0" w:after="0" w:line="360" w:lineRule="auto"/>
        <w:jc w:val="left"/>
      </w:pPr>
      <w:r>
        <w:rPr>
          <w:rFonts w:ascii="宋体" w:hAnsi="宋体" w:eastAsia="宋体"/>
          <w:b w:val="0"/>
          <w:sz w:val="21"/>
        </w:rPr>
        <w:t>[4] 陈为, 沈则潜. 数据可视化[M]. 北京: 电子工业出版社, 2019.</w:t>
      </w:r>
    </w:p>
    <w:p w14:paraId="08A010E3">
      <w:pPr>
        <w:spacing w:before="0" w:after="0" w:line="360" w:lineRule="auto"/>
        <w:jc w:val="left"/>
      </w:pPr>
      <w:r>
        <w:rPr>
          <w:rFonts w:ascii="宋体" w:hAnsi="宋体" w:eastAsia="宋体"/>
          <w:b w:val="0"/>
          <w:sz w:val="21"/>
        </w:rPr>
        <w:t>[5] Hyndman R J, Athanasopoulos G. Forecasting: Principles and Practice[M]. OTexts, 2018.</w:t>
      </w:r>
    </w:p>
    <w:p w14:paraId="1BAA92BC">
      <w:pPr>
        <w:spacing w:before="0" w:after="0" w:line="360" w:lineRule="auto"/>
        <w:jc w:val="left"/>
      </w:pPr>
      <w:r>
        <w:rPr>
          <w:rFonts w:ascii="宋体" w:hAnsi="宋体" w:eastAsia="宋体"/>
          <w:b w:val="0"/>
          <w:sz w:val="21"/>
        </w:rPr>
        <w:t>[6] 埃里克·西格尔. 预测分析[M]. 北京: 人民邮电出版社, 2014.</w:t>
      </w:r>
    </w:p>
    <w:p w14:paraId="19AC601A">
      <w:pPr>
        <w:spacing w:before="0" w:after="0" w:line="360" w:lineRule="auto"/>
        <w:jc w:val="left"/>
      </w:pPr>
      <w:r>
        <w:rPr>
          <w:rFonts w:ascii="宋体" w:hAnsi="宋体" w:eastAsia="宋体"/>
          <w:b w:val="0"/>
          <w:sz w:val="21"/>
        </w:rPr>
        <w:t>[7] 周志华. 机器学习[M]. 北京: 清华大学出版社, 2016.</w:t>
      </w:r>
    </w:p>
    <w:p w14:paraId="5A97AAFF">
      <w:pPr>
        <w:pStyle w:val="3"/>
        <w:spacing w:before="360" w:after="120" w:line="360" w:lineRule="auto"/>
        <w:jc w:val="left"/>
      </w:pPr>
      <w:r>
        <w:rPr>
          <w:rFonts w:ascii="黑体" w:hAnsi="黑体" w:eastAsia="黑体"/>
          <w:b/>
          <w:sz w:val="32"/>
        </w:rPr>
        <w:t>附录</w:t>
      </w:r>
    </w:p>
    <w:p w14:paraId="7C23370A">
      <w:pPr>
        <w:spacing w:before="0" w:after="0" w:line="360" w:lineRule="auto"/>
        <w:jc w:val="left"/>
      </w:pPr>
      <w:r>
        <w:rPr>
          <w:rFonts w:ascii="宋体" w:hAnsi="宋体" w:eastAsia="宋体"/>
          <w:b/>
          <w:sz w:val="24"/>
        </w:rPr>
        <w:t>A 核心代码片段</w:t>
      </w:r>
    </w:p>
    <w:p w14:paraId="553DD807">
      <w:pPr>
        <w:spacing w:before="0" w:after="0" w:line="360" w:lineRule="auto"/>
        <w:ind w:firstLine="480"/>
        <w:jc w:val="left"/>
      </w:pPr>
      <w:r>
        <w:rPr>
          <w:rFonts w:ascii="宋体" w:hAnsi="宋体" w:eastAsia="宋体"/>
          <w:b w:val="0"/>
          <w:sz w:val="24"/>
        </w:rPr>
        <w:t>项目包含6个Python脚本：01_load.py（数据获取）、02_clean.py（清洗治理）、03_analysis.py（五种模型）、04_visuals.py（19张图）、05_dashboard.py（大屏）、06_report.py（论文生成）。可通过 python run_all.py 一键复现全流程。核心代码片段包括：K-Means聚类（sklearn.cluster.KMeans，n_clusters=4）、随机森林回归（sklearn.ensemble.RandomForestRegressor，n_estimators=200）、RFM三分位分层（pandas.quantile分箱）、帕累托ABC分类（cumsum累计占比）、可视化绘图（matplotlib+seaborn，300dpi输出）、Streamlit大屏（st.sidebar联动筛选）。</w:t>
      </w:r>
      <w:bookmarkStart w:id="0" w:name="_GoBack"/>
      <w:bookmarkEnd w:id="0"/>
    </w:p>
    <w:p w14:paraId="5D4A50D1">
      <w:pPr>
        <w:spacing w:before="0" w:after="0" w:line="360" w:lineRule="auto"/>
        <w:jc w:val="left"/>
      </w:pPr>
      <w:r>
        <w:rPr>
          <w:rFonts w:ascii="宋体" w:hAnsi="宋体" w:eastAsia="宋体"/>
          <w:b/>
          <w:sz w:val="24"/>
        </w:rPr>
        <w:t>B Gitee/GitHub仓库链接与目录结构</w:t>
      </w:r>
    </w:p>
    <w:p w14:paraId="24BE879D">
      <w:pPr>
        <w:spacing w:before="0" w:after="0" w:line="360" w:lineRule="auto"/>
        <w:ind w:firstLine="480"/>
        <w:jc w:val="left"/>
        <w:rPr>
          <w:rFonts w:hint="eastAsia" w:ascii="宋体" w:hAnsi="宋体" w:eastAsia="宋体"/>
          <w:b w:val="0"/>
          <w:sz w:val="24"/>
        </w:rPr>
      </w:pPr>
      <w:r>
        <w:rPr>
          <w:rFonts w:ascii="宋体" w:hAnsi="宋体" w:eastAsia="宋体"/>
          <w:b w:val="0"/>
          <w:sz w:val="24"/>
        </w:rPr>
        <w:t>仓库链接：</w:t>
      </w:r>
      <w:r>
        <w:rPr>
          <w:rFonts w:hint="eastAsia" w:ascii="宋体" w:hAnsi="宋体" w:eastAsia="宋体"/>
          <w:b w:val="0"/>
          <w:sz w:val="24"/>
        </w:rPr>
        <w:fldChar w:fldCharType="begin"/>
      </w:r>
      <w:r>
        <w:rPr>
          <w:rFonts w:hint="eastAsia" w:ascii="宋体" w:hAnsi="宋体" w:eastAsia="宋体"/>
          <w:b w:val="0"/>
          <w:sz w:val="24"/>
        </w:rPr>
        <w:instrText xml:space="preserve"> HYPERLINK "https://github.com/cdlwqs/data-analysis.git" </w:instrText>
      </w:r>
      <w:r>
        <w:rPr>
          <w:rFonts w:hint="eastAsia" w:ascii="宋体" w:hAnsi="宋体" w:eastAsia="宋体"/>
          <w:b w:val="0"/>
          <w:sz w:val="24"/>
        </w:rPr>
        <w:fldChar w:fldCharType="separate"/>
      </w:r>
      <w:r>
        <w:rPr>
          <w:rStyle w:val="135"/>
          <w:rFonts w:hint="eastAsia" w:ascii="宋体" w:hAnsi="宋体" w:eastAsia="宋体"/>
          <w:b w:val="0"/>
          <w:sz w:val="24"/>
        </w:rPr>
        <w:t>https://github.com/cdlwqs/data-analysis.git</w:t>
      </w:r>
      <w:r>
        <w:rPr>
          <w:rFonts w:hint="eastAsia" w:ascii="宋体" w:hAnsi="宋体" w:eastAsia="宋体"/>
          <w:b w:val="0"/>
          <w:sz w:val="24"/>
        </w:rPr>
        <w:fldChar w:fldCharType="end"/>
      </w:r>
    </w:p>
    <w:p w14:paraId="459FD0A7">
      <w:pPr>
        <w:spacing w:before="0" w:after="0" w:line="360" w:lineRule="auto"/>
        <w:ind w:firstLine="480"/>
        <w:jc w:val="left"/>
      </w:pPr>
      <w:r>
        <w:rPr>
          <w:rFonts w:ascii="宋体" w:hAnsi="宋体" w:eastAsia="宋体"/>
          <w:b w:val="0"/>
          <w:sz w:val="24"/>
        </w:rPr>
        <w:t>目录结构如下：data/raw/（原始数据listings.csv.gz）、data/clean/（清洗数据listings_clean.csv）、scripts/（01_load.py—06_report.py共6个脚本）、outputs/figures/（fig01—fig19共19张分析图+dashboard.png大屏截图）、outputs/tables/（11个CSV模型结果）、期末大论文.docx（论文）、README.md（项目说明）、run_all.py（一键复现）、requirements.txt（依赖清单）。</w:t>
      </w:r>
    </w:p>
    <w:p w14:paraId="07B5D326">
      <w:pPr>
        <w:spacing w:before="0" w:after="0" w:line="360" w:lineRule="auto"/>
        <w:jc w:val="left"/>
      </w:pPr>
      <w:r>
        <w:rPr>
          <w:rFonts w:ascii="宋体" w:hAnsi="宋体" w:eastAsia="宋体"/>
          <w:b/>
          <w:sz w:val="24"/>
        </w:rPr>
        <w:t>C 图表索引（fig01—fig19 + 大屏截图）</w:t>
      </w:r>
    </w:p>
    <w:p w14:paraId="270FB12A">
      <w:pPr>
        <w:spacing w:before="0" w:after="0" w:line="360" w:lineRule="auto"/>
        <w:ind w:firstLine="480"/>
        <w:jc w:val="left"/>
      </w:pPr>
      <w:r>
        <w:rPr>
          <w:rFonts w:ascii="宋体" w:hAnsi="宋体" w:eastAsia="宋体"/>
          <w:b w:val="0"/>
          <w:sz w:val="24"/>
        </w:rPr>
        <w:t>fig01_房型分布_柱形图.png — 房型分布柱形图</w:t>
      </w:r>
    </w:p>
    <w:p w14:paraId="2F46717C">
      <w:pPr>
        <w:spacing w:before="0" w:after="0" w:line="360" w:lineRule="auto"/>
        <w:ind w:firstLine="480"/>
        <w:jc w:val="left"/>
      </w:pPr>
      <w:r>
        <w:rPr>
          <w:rFonts w:ascii="宋体" w:hAnsi="宋体" w:eastAsia="宋体"/>
          <w:b w:val="0"/>
          <w:sz w:val="24"/>
        </w:rPr>
        <w:t>fig02_月度评论趋势_折线图.png — 月度评论趋势折线图</w:t>
      </w:r>
    </w:p>
    <w:p w14:paraId="5C43F481">
      <w:pPr>
        <w:spacing w:before="0" w:after="0" w:line="360" w:lineRule="auto"/>
        <w:ind w:firstLine="480"/>
        <w:jc w:val="left"/>
      </w:pPr>
      <w:r>
        <w:rPr>
          <w:rFonts w:ascii="宋体" w:hAnsi="宋体" w:eastAsia="宋体"/>
          <w:b w:val="0"/>
          <w:sz w:val="24"/>
        </w:rPr>
        <w:t>fig03_行政区占比_饼图.png — 行政区占比饼图</w:t>
      </w:r>
    </w:p>
    <w:p w14:paraId="18777853">
      <w:pPr>
        <w:spacing w:before="0" w:after="0" w:line="360" w:lineRule="auto"/>
        <w:ind w:firstLine="480"/>
        <w:jc w:val="left"/>
      </w:pPr>
      <w:r>
        <w:rPr>
          <w:rFonts w:ascii="宋体" w:hAnsi="宋体" w:eastAsia="宋体"/>
          <w:b w:val="0"/>
          <w:sz w:val="24"/>
        </w:rPr>
        <w:t>fig04_价格评论数_双轴组合图.png — 价格与评论数双轴组合图</w:t>
      </w:r>
    </w:p>
    <w:p w14:paraId="48368EBD">
      <w:pPr>
        <w:spacing w:before="0" w:after="0" w:line="360" w:lineRule="auto"/>
        <w:ind w:firstLine="480"/>
        <w:jc w:val="left"/>
      </w:pPr>
      <w:r>
        <w:rPr>
          <w:rFonts w:ascii="宋体" w:hAnsi="宋体" w:eastAsia="宋体"/>
          <w:b w:val="0"/>
          <w:sz w:val="24"/>
        </w:rPr>
        <w:t>fig05_行政区房型_堆积柱形图.png — 行政区与房型堆积柱形图</w:t>
      </w:r>
    </w:p>
    <w:p w14:paraId="110BD643">
      <w:pPr>
        <w:spacing w:before="0" w:after="0" w:line="360" w:lineRule="auto"/>
        <w:ind w:firstLine="480"/>
        <w:jc w:val="left"/>
      </w:pPr>
      <w:r>
        <w:rPr>
          <w:rFonts w:ascii="宋体" w:hAnsi="宋体" w:eastAsia="宋体"/>
          <w:b w:val="0"/>
          <w:sz w:val="24"/>
        </w:rPr>
        <w:t>fig06_价格评分_散点图.png — 价格与评分散点图</w:t>
      </w:r>
    </w:p>
    <w:p w14:paraId="24E634F0">
      <w:pPr>
        <w:spacing w:before="0" w:after="0" w:line="360" w:lineRule="auto"/>
        <w:ind w:firstLine="480"/>
        <w:jc w:val="left"/>
      </w:pPr>
      <w:r>
        <w:rPr>
          <w:rFonts w:ascii="宋体" w:hAnsi="宋体" w:eastAsia="宋体"/>
          <w:b w:val="0"/>
          <w:sz w:val="24"/>
        </w:rPr>
        <w:t>fig07_行政区价格_箱线图.png — 行政区价格箱线图</w:t>
      </w:r>
    </w:p>
    <w:p w14:paraId="36AA44F9">
      <w:pPr>
        <w:spacing w:before="0" w:after="0" w:line="360" w:lineRule="auto"/>
        <w:ind w:firstLine="480"/>
        <w:jc w:val="left"/>
      </w:pPr>
      <w:r>
        <w:rPr>
          <w:rFonts w:ascii="宋体" w:hAnsi="宋体" w:eastAsia="宋体"/>
          <w:b w:val="0"/>
          <w:sz w:val="24"/>
        </w:rPr>
        <w:t>fig08_价格可住天数_热力图.png — 价格与可住天数热力图</w:t>
      </w:r>
    </w:p>
    <w:p w14:paraId="55145064">
      <w:pPr>
        <w:spacing w:before="0" w:after="0" w:line="360" w:lineRule="auto"/>
        <w:ind w:firstLine="480"/>
        <w:jc w:val="left"/>
      </w:pPr>
      <w:r>
        <w:rPr>
          <w:rFonts w:ascii="宋体" w:hAnsi="宋体" w:eastAsia="宋体"/>
          <w:b w:val="0"/>
          <w:sz w:val="24"/>
        </w:rPr>
        <w:t>fig09_Top10街区房源_水平条形图.png — Top10街区房源水平条形图</w:t>
      </w:r>
    </w:p>
    <w:p w14:paraId="1DF57A00">
      <w:pPr>
        <w:spacing w:before="0" w:after="0" w:line="360" w:lineRule="auto"/>
        <w:ind w:firstLine="480"/>
        <w:jc w:val="left"/>
      </w:pPr>
      <w:r>
        <w:rPr>
          <w:rFonts w:ascii="宋体" w:hAnsi="宋体" w:eastAsia="宋体"/>
          <w:b w:val="0"/>
          <w:sz w:val="24"/>
        </w:rPr>
        <w:t>fig10_房型占比_圆环图.png — 房型占比圆环图</w:t>
      </w:r>
    </w:p>
    <w:p w14:paraId="26D27802">
      <w:pPr>
        <w:spacing w:before="0" w:after="0" w:line="360" w:lineRule="auto"/>
        <w:ind w:firstLine="480"/>
        <w:jc w:val="left"/>
      </w:pPr>
      <w:r>
        <w:rPr>
          <w:rFonts w:ascii="宋体" w:hAnsi="宋体" w:eastAsia="宋体"/>
          <w:b w:val="0"/>
          <w:sz w:val="24"/>
        </w:rPr>
        <w:t>fig11_聚类特征_雷达图.png — 聚类特征雷达图</w:t>
      </w:r>
    </w:p>
    <w:p w14:paraId="39B0C488">
      <w:pPr>
        <w:spacing w:before="0" w:after="0" w:line="360" w:lineRule="auto"/>
        <w:ind w:firstLine="480"/>
        <w:jc w:val="left"/>
      </w:pPr>
      <w:r>
        <w:rPr>
          <w:rFonts w:ascii="宋体" w:hAnsi="宋体" w:eastAsia="宋体"/>
          <w:b w:val="0"/>
          <w:sz w:val="24"/>
        </w:rPr>
        <w:t>fig12_各月新增房东_棒棒糖图.png — 各月新增房东棒棒糖图</w:t>
      </w:r>
    </w:p>
    <w:p w14:paraId="7EBFFADA">
      <w:pPr>
        <w:spacing w:before="0" w:after="0" w:line="360" w:lineRule="auto"/>
        <w:ind w:firstLine="480"/>
        <w:jc w:val="left"/>
      </w:pPr>
      <w:r>
        <w:rPr>
          <w:rFonts w:ascii="宋体" w:hAnsi="宋体" w:eastAsia="宋体"/>
          <w:b w:val="0"/>
          <w:sz w:val="24"/>
        </w:rPr>
        <w:t>fig13_KMeans聚类_散点图.png — K-Means聚类散点图</w:t>
      </w:r>
    </w:p>
    <w:p w14:paraId="44A97EC8">
      <w:pPr>
        <w:spacing w:before="0" w:after="0" w:line="360" w:lineRule="auto"/>
        <w:ind w:firstLine="480"/>
        <w:jc w:val="left"/>
      </w:pPr>
      <w:r>
        <w:rPr>
          <w:rFonts w:ascii="宋体" w:hAnsi="宋体" w:eastAsia="宋体"/>
          <w:b w:val="0"/>
          <w:sz w:val="24"/>
        </w:rPr>
        <w:t>fig14_特征重要性_条形图.png — 随机森林特征重要性条形图</w:t>
      </w:r>
    </w:p>
    <w:p w14:paraId="7DD3C108">
      <w:pPr>
        <w:spacing w:before="0" w:after="0" w:line="360" w:lineRule="auto"/>
        <w:ind w:firstLine="480"/>
        <w:jc w:val="left"/>
      </w:pPr>
      <w:r>
        <w:rPr>
          <w:rFonts w:ascii="宋体" w:hAnsi="宋体" w:eastAsia="宋体"/>
          <w:b w:val="0"/>
          <w:sz w:val="24"/>
        </w:rPr>
        <w:t>fig15_定价预测_残差图.png — 定价预测残差图</w:t>
      </w:r>
    </w:p>
    <w:p w14:paraId="2678ABA3">
      <w:pPr>
        <w:spacing w:before="0" w:after="0" w:line="360" w:lineRule="auto"/>
        <w:ind w:firstLine="480"/>
        <w:jc w:val="left"/>
      </w:pPr>
      <w:r>
        <w:rPr>
          <w:rFonts w:ascii="宋体" w:hAnsi="宋体" w:eastAsia="宋体"/>
          <w:b w:val="0"/>
          <w:sz w:val="24"/>
        </w:rPr>
        <w:t>fig16_房东价值_分层图.png — 房东价值分层图</w:t>
      </w:r>
    </w:p>
    <w:p w14:paraId="0D1ECA50">
      <w:pPr>
        <w:spacing w:before="0" w:after="0" w:line="360" w:lineRule="auto"/>
        <w:ind w:firstLine="480"/>
        <w:jc w:val="left"/>
      </w:pPr>
      <w:r>
        <w:rPr>
          <w:rFonts w:ascii="宋体" w:hAnsi="宋体" w:eastAsia="宋体"/>
          <w:b w:val="0"/>
          <w:sz w:val="24"/>
        </w:rPr>
        <w:t>fig17_地理价格_散点图.png — 地理价格散点图</w:t>
      </w:r>
    </w:p>
    <w:p w14:paraId="07E82974">
      <w:pPr>
        <w:spacing w:before="0" w:after="0" w:line="360" w:lineRule="auto"/>
        <w:ind w:firstLine="480"/>
        <w:jc w:val="left"/>
      </w:pPr>
      <w:r>
        <w:rPr>
          <w:rFonts w:ascii="宋体" w:hAnsi="宋体" w:eastAsia="宋体"/>
          <w:b w:val="0"/>
          <w:sz w:val="24"/>
        </w:rPr>
        <w:t>fig18_街区帕累托图.png — 街区帕累托图</w:t>
      </w:r>
    </w:p>
    <w:p w14:paraId="36882B63">
      <w:pPr>
        <w:spacing w:before="0" w:after="0" w:line="360" w:lineRule="auto"/>
        <w:ind w:firstLine="480"/>
        <w:jc w:val="left"/>
      </w:pPr>
      <w:r>
        <w:rPr>
          <w:rFonts w:ascii="宋体" w:hAnsi="宋体" w:eastAsia="宋体"/>
          <w:b w:val="0"/>
          <w:sz w:val="24"/>
        </w:rPr>
        <w:t>fig19_评论趋势_移动平均.png — 评论趋势移动平均图</w:t>
      </w:r>
    </w:p>
    <w:p w14:paraId="63B88285">
      <w:pPr>
        <w:spacing w:before="0" w:after="0" w:line="360" w:lineRule="auto"/>
        <w:ind w:firstLine="480"/>
        <w:jc w:val="left"/>
      </w:pPr>
      <w:r>
        <w:rPr>
          <w:rFonts w:ascii="宋体" w:hAnsi="宋体" w:eastAsia="宋体"/>
          <w:b w:val="0"/>
          <w:sz w:val="24"/>
        </w:rPr>
        <w:t>dashboard.png — 纽约Airbnb数据可视化大屏截图</w:t>
      </w:r>
    </w:p>
    <w:p w14:paraId="0B968312"/>
    <w:sectPr>
      <w:pgSz w:w="11906" w:h="16838"/>
      <w:pgMar w:top="1440" w:right="1797" w:bottom="1440" w:left="1797" w:header="850" w:footer="992"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Cambria">
    <w:panose1 w:val="02040503050406030204"/>
    <w:charset w:val="00"/>
    <w:family w:val="auto"/>
    <w:pitch w:val="default"/>
    <w:sig w:usb0="E00006FF" w:usb1="420024FF" w:usb2="02000000" w:usb3="00000000" w:csb0="2000019F" w:csb1="00000000"/>
  </w:font>
  <w:font w:name="ＭＳ 明朝">
    <w:altName w:val="Yu Gothic"/>
    <w:panose1 w:val="00000000000000000000"/>
    <w:charset w:val="80"/>
    <w:family w:val="roman"/>
    <w:pitch w:val="default"/>
    <w:sig w:usb0="00000000" w:usb1="00000000" w:usb2="00000010" w:usb3="00000000" w:csb0="00020000" w:csb1="00000000"/>
  </w:font>
  <w:font w:name="ＭＳ 明朝">
    <w:altName w:val="宋体"/>
    <w:panose1 w:val="00000000000000000000"/>
    <w:charset w:val="86"/>
    <w:family w:val="auto"/>
    <w:pitch w:val="default"/>
    <w:sig w:usb0="00000000" w:usb1="00000000" w:usb2="00000000" w:usb3="00000000" w:csb0="00000000" w:csb1="00000000"/>
  </w:font>
  <w:font w:name="MS Gothic">
    <w:panose1 w:val="020B0609070205080204"/>
    <w:charset w:val="80"/>
    <w:family w:val="modern"/>
    <w:pitch w:val="default"/>
    <w:sig w:usb0="E00002FF" w:usb1="6AC7FDFB" w:usb2="08000012" w:usb3="00000000" w:csb0="4002009F" w:csb1="DFD70000"/>
  </w:font>
  <w:font w:name="Courier">
    <w:altName w:val="Courier New"/>
    <w:panose1 w:val="02000500000000000000"/>
    <w:charset w:val="00"/>
    <w:family w:val="auto"/>
    <w:pitch w:val="default"/>
    <w:sig w:usb0="00000000" w:usb1="00000000" w:usb2="00000000" w:usb3="00000000" w:csb0="00000001" w:csb1="00000000"/>
  </w:font>
  <w:font w:name="楷体_GB2312">
    <w:panose1 w:val="02010609030101010101"/>
    <w:charset w:val="86"/>
    <w:family w:val="auto"/>
    <w:pitch w:val="default"/>
    <w:sig w:usb0="00000001" w:usb1="080E0000" w:usb2="00000000" w:usb3="00000000" w:csb0="00040000" w:csb1="00000000"/>
  </w:font>
  <w:font w:name="ＭＳ 明朝">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Yu Gothic">
    <w:panose1 w:val="020B0400000000000000"/>
    <w:charset w:val="80"/>
    <w:family w:val="auto"/>
    <w:pitch w:val="default"/>
    <w:sig w:usb0="E00002FF" w:usb1="2AC7FDFF" w:usb2="00000016" w:usb3="00000000" w:csb0="2002009F" w:csb1="00000000"/>
  </w:font>
  <w:font w:name="Courier New">
    <w:panose1 w:val="02070309020205020404"/>
    <w:charset w:val="00"/>
    <w:family w:val="auto"/>
    <w:pitch w:val="default"/>
    <w:sig w:usb0="E0002EFF" w:usb1="C0007843" w:usb2="00000009" w:usb3="00000000" w:csb0="400001FF" w:csb1="FFFF0000"/>
  </w:font>
  <w:font w:name="Cambria Math">
    <w:panose1 w:val="02040503050406030204"/>
    <w:charset w:val="00"/>
    <w:family w:val="roman"/>
    <w:pitch w:val="default"/>
    <w:sig w:usb0="E00006FF" w:usb1="420024FF" w:usb2="02000000" w:usb3="00000000" w:csb0="2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3021413">
    <w:pPr>
      <w:pStyle w:val="24"/>
      <w:tabs>
        <w:tab w:val="center" w:pos="4153"/>
        <w:tab w:val="right" w:pos="8306"/>
        <w:tab w:val="clear" w:pos="4680"/>
        <w:tab w:val="clear" w:pos="9360"/>
      </w:tabs>
      <w:spacing w:beforeLines="0" w:afterLines="0"/>
      <w:ind w:firstLine="360"/>
      <w:jc w:val="center"/>
      <w:rPr>
        <w:rFonts w:hint="default"/>
        <w:sz w:val="18"/>
        <w:szCs w:val="18"/>
      </w:rPr>
    </w:pPr>
    <w:r>
      <w:rPr>
        <w:rFonts w:hint="default"/>
        <w:sz w:val="18"/>
        <w:szCs w:val="18"/>
      </w:rPr>
      <w:fldChar w:fldCharType="begin"/>
    </w:r>
    <w:r>
      <w:rPr>
        <w:rFonts w:hint="default"/>
        <w:sz w:val="18"/>
        <w:szCs w:val="18"/>
      </w:rPr>
      <w:instrText xml:space="preserve">PAGE   \* MERGEFORMAT</w:instrText>
    </w:r>
    <w:r>
      <w:rPr>
        <w:rFonts w:hint="default"/>
        <w:sz w:val="18"/>
        <w:szCs w:val="18"/>
      </w:rPr>
      <w:fldChar w:fldCharType="separate"/>
    </w:r>
    <w:r>
      <w:rPr>
        <w:rFonts w:hint="default"/>
        <w:sz w:val="18"/>
        <w:szCs w:val="18"/>
        <w:lang w:val="zh-CN"/>
      </w:rPr>
      <w:t>2</w:t>
    </w:r>
    <w:r>
      <w:rPr>
        <w:rFonts w:hint="default"/>
        <w:sz w:val="18"/>
        <w:szCs w:val="18"/>
        <w:lang w:val="zh-CN"/>
      </w:rPr>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770EC26">
    <w:pPr>
      <w:pStyle w:val="24"/>
      <w:tabs>
        <w:tab w:val="center" w:pos="4153"/>
        <w:tab w:val="right" w:pos="8306"/>
        <w:tab w:val="clear" w:pos="4680"/>
        <w:tab w:val="clear" w:pos="9360"/>
      </w:tabs>
      <w:spacing w:beforeLines="0" w:afterLines="0"/>
      <w:ind w:firstLine="0" w:firstLineChars="0"/>
      <w:jc w:val="center"/>
      <w:rPr>
        <w:rFonts w:hint="default"/>
        <w:sz w:val="18"/>
        <w:szCs w:val="18"/>
      </w:rP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360" w:lineRule="auto"/>
      </w:pPr>
      <w:r>
        <w:separator/>
      </w:r>
    </w:p>
  </w:footnote>
  <w:footnote w:type="continuationSeparator" w:id="1">
    <w:p>
      <w:pPr>
        <w:spacing w:before="0" w:after="0" w:line="36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46616E1">
    <w:pPr>
      <w:pStyle w:val="25"/>
      <w:tabs>
        <w:tab w:val="center" w:pos="4153"/>
        <w:tab w:val="right" w:pos="8306"/>
        <w:tab w:val="clear" w:pos="4680"/>
        <w:tab w:val="clear" w:pos="9360"/>
      </w:tabs>
      <w:spacing w:beforeLines="0" w:afterLines="0" w:line="240" w:lineRule="auto"/>
      <w:ind w:firstLine="0" w:firstLineChars="0"/>
      <w:rPr>
        <w:rFonts w:hint="default"/>
        <w:sz w:val="18"/>
        <w:szCs w:val="18"/>
      </w:rPr>
    </w:pPr>
    <w:r>
      <w:rPr>
        <w:rFonts w:hint="eastAsia"/>
        <w:sz w:val="18"/>
        <w:szCs w:val="18"/>
      </w:rPr>
      <w:t>大数据分析及数据可视化</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7902549">
    <w:pPr>
      <w:pStyle w:val="25"/>
      <w:pBdr>
        <w:bottom w:val="none" w:color="auto" w:sz="0" w:space="0"/>
      </w:pBdr>
      <w:tabs>
        <w:tab w:val="center" w:pos="4153"/>
        <w:tab w:val="right" w:pos="8306"/>
        <w:tab w:val="clear" w:pos="4680"/>
        <w:tab w:val="clear" w:pos="9360"/>
      </w:tabs>
      <w:spacing w:beforeLines="0" w:afterLines="0" w:line="240" w:lineRule="auto"/>
      <w:ind w:firstLine="0" w:firstLineChars="0"/>
      <w:rPr>
        <w:rFonts w:hint="default"/>
        <w:sz w:val="18"/>
        <w:szCs w:val="18"/>
      </w:rP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20"/>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13"/>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18"/>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3"/>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14"/>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16"/>
      <w:lvlText w:val=""/>
      <w:lvlJc w:val="left"/>
      <w:pPr>
        <w:tabs>
          <w:tab w:val="left" w:pos="360"/>
        </w:tabs>
        <w:ind w:left="360" w:hanging="360"/>
      </w:pPr>
      <w:rPr>
        <w:rFonts w:hint="default" w:ascii="Symbol" w:hAnsi="Symbol"/>
      </w:rPr>
    </w:lvl>
  </w:abstractNum>
  <w:num w:numId="1">
    <w:abstractNumId w:val="1"/>
  </w:num>
  <w:num w:numId="2">
    <w:abstractNumId w:val="4"/>
  </w:num>
  <w:num w:numId="3">
    <w:abstractNumId w:val="5"/>
  </w:num>
  <w:num w:numId="4">
    <w:abstractNumId w:val="2"/>
  </w:num>
  <w:num w:numId="5">
    <w:abstractNumId w:val="0"/>
  </w:num>
  <w:num w:numId="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0"/>
  <w:documentProtection w:enforcement="0"/>
  <w:defaultTabStop w:val="720"/>
  <w:characterSpacingControl w:val="doNotCompress"/>
  <w:footnotePr>
    <w:footnote w:id="0"/>
    <w:footnote w:id="1"/>
  </w:footnotePr>
  <w:endnotePr>
    <w:endnote w:id="0"/>
    <w:endnote w:id="1"/>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172A27"/>
    <w:rsid w:val="00034616"/>
    <w:rsid w:val="0006063C"/>
    <w:rsid w:val="0015074B"/>
    <w:rsid w:val="0029639D"/>
    <w:rsid w:val="00326F90"/>
    <w:rsid w:val="00AA1D8D"/>
    <w:rsid w:val="00B47730"/>
    <w:rsid w:val="00CB0664"/>
    <w:rsid w:val="00FC693F"/>
    <w:rsid w:val="64750A1B"/>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qFormat="1" w:uiPriority="99" w:semiHidden="0" w:name="macro"/>
    <w:lsdException w:uiPriority="99" w:name="toa heading"/>
    <w:lsdException w:uiPriority="99" w:semiHidden="0" w:name="List"/>
    <w:lsdException w:uiPriority="99" w:semiHidden="0" w:name="List Bullet"/>
    <w:lsdException w:uiPriority="99" w:semiHidden="0" w:name="List Number"/>
    <w:lsdException w:uiPriority="99" w:semiHidden="0" w:name="List 2"/>
    <w:lsdException w:uiPriority="99" w:semiHidden="0" w:name="List 3"/>
    <w:lsdException w:uiPriority="99" w:name="List 4"/>
    <w:lsdException w:uiPriority="99" w:name="List 5"/>
    <w:lsdException w:uiPriority="99" w:semiHidden="0" w:name="List Bullet 2"/>
    <w:lsdException w:qFormat="1" w:uiPriority="99" w:semiHidden="0" w:name="List Bullet 3"/>
    <w:lsdException w:uiPriority="99" w:name="List Bullet 4"/>
    <w:lsdException w:uiPriority="99" w:name="List Bullet 5"/>
    <w:lsdException w:qFormat="1" w:uiPriority="99" w:semiHidden="0" w:name="List Number 2"/>
    <w:lsdException w:qFormat="1"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semiHidden="0" w:name="Body Text"/>
    <w:lsdException w:uiPriority="99" w:name="Body Text Indent"/>
    <w:lsdException w:qFormat="1" w:uiPriority="99" w:semiHidden="0" w:name="List Continue"/>
    <w:lsdException w:qFormat="1" w:uiPriority="99" w:semiHidden="0" w:name="List Continue 2"/>
    <w:lsdException w:qFormat="1"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semiHidden="0" w:name="Body Text 2"/>
    <w:lsdException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59" w:semiHidden="0" w:name="Table Grid"/>
    <w:lsdException w:uiPriority="99" w:name="Table Theme"/>
    <w:lsdException w:qFormat="1" w:unhideWhenUsed="0" w:uiPriority="1" w:semiHidden="0" w:name="No Spacing"/>
    <w:lsdException w:qFormat="1" w:unhideWhenUsed="0" w:uiPriority="60" w:semiHidden="0" w:name="Light Shading"/>
    <w:lsdException w:qFormat="1" w:unhideWhenUsed="0" w:uiPriority="61" w:semiHidden="0" w:name="Light List"/>
    <w:lsdException w:qFormat="1" w:unhideWhenUsed="0" w:uiPriority="62" w:semiHidden="0" w:name="Light Grid"/>
    <w:lsdException w:unhideWhenUsed="0" w:uiPriority="63" w:semiHidden="0" w:name="Medium Shading 1"/>
    <w:lsdException w:qFormat="1" w:unhideWhenUsed="0" w:uiPriority="64" w:semiHidden="0" w:name="Medium Shading 2"/>
    <w:lsdException w:qFormat="1" w:unhideWhenUsed="0" w:uiPriority="65" w:semiHidden="0" w:name="Medium List 1"/>
    <w:lsdException w:qFormat="1" w:unhideWhenUsed="0" w:uiPriority="66" w:semiHidden="0" w:name="Medium List 2"/>
    <w:lsdException w:qFormat="1" w:unhideWhenUsed="0" w:uiPriority="67" w:semiHidden="0" w:name="Medium Grid 1"/>
    <w:lsdException w:qFormat="1" w:unhideWhenUsed="0" w:uiPriority="68" w:semiHidden="0" w:name="Medium Grid 2"/>
    <w:lsdException w:qFormat="1" w:unhideWhenUsed="0" w:uiPriority="69" w:semiHidden="0" w:name="Medium Grid 3"/>
    <w:lsdException w:qFormat="1" w:unhideWhenUsed="0" w:uiPriority="70" w:semiHidden="0" w:name="Dark List"/>
    <w:lsdException w:qFormat="1" w:unhideWhenUsed="0" w:uiPriority="71" w:semiHidden="0" w:name="Colorful Shading"/>
    <w:lsdException w:qFormat="1" w:unhideWhenUsed="0" w:uiPriority="72" w:semiHidden="0" w:name="Colorful List"/>
    <w:lsdException w:qFormat="1" w:unhideWhenUsed="0" w:uiPriority="73" w:semiHidden="0" w:name="Colorful Grid"/>
    <w:lsdException w:qFormat="1" w:unhideWhenUsed="0" w:uiPriority="60" w:semiHidden="0" w:name="Light Shading Accent 1"/>
    <w:lsdException w:qFormat="1" w:unhideWhenUsed="0" w:uiPriority="61" w:semiHidden="0" w:name="Light List Accent 1"/>
    <w:lsdException w:unhideWhenUsed="0" w:uiPriority="62" w:semiHidden="0" w:name="Light Grid Accent 1"/>
    <w:lsdException w:unhideWhenUsed="0" w:uiPriority="63" w:semiHidden="0" w:name="Medium Shading 1 Accent 1"/>
    <w:lsdException w:qFormat="1" w:unhideWhenUsed="0" w:uiPriority="64" w:semiHidden="0" w:name="Medium Shading 2 Accent 1"/>
    <w:lsdException w:qFormat="1"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qFormat="1" w:unhideWhenUsed="0" w:uiPriority="66" w:semiHidden="0" w:name="Medium List 2 Accent 1"/>
    <w:lsdException w:qFormat="1" w:unhideWhenUsed="0" w:uiPriority="67" w:semiHidden="0" w:name="Medium Grid 1 Accent 1"/>
    <w:lsdException w:qFormat="1" w:unhideWhenUsed="0" w:uiPriority="68" w:semiHidden="0" w:name="Medium Grid 2 Accent 1"/>
    <w:lsdException w:qFormat="1" w:unhideWhenUsed="0" w:uiPriority="69" w:semiHidden="0" w:name="Medium Grid 3 Accent 1"/>
    <w:lsdException w:qFormat="1" w:unhideWhenUsed="0" w:uiPriority="70" w:semiHidden="0" w:name="Dark List Accent 1"/>
    <w:lsdException w:qFormat="1" w:unhideWhenUsed="0" w:uiPriority="71" w:semiHidden="0" w:name="Colorful Shading Accent 1"/>
    <w:lsdException w:qFormat="1" w:unhideWhenUsed="0" w:uiPriority="72" w:semiHidden="0" w:name="Colorful List Accent 1"/>
    <w:lsdException w:qFormat="1" w:unhideWhenUsed="0" w:uiPriority="73" w:semiHidden="0" w:name="Colorful Grid Accent 1"/>
    <w:lsdException w:unhideWhenUsed="0" w:uiPriority="60" w:semiHidden="0" w:name="Light Shading Accent 2"/>
    <w:lsdException w:qFormat="1" w:unhideWhenUsed="0" w:uiPriority="61" w:semiHidden="0" w:name="Light List Accent 2"/>
    <w:lsdException w:unhideWhenUsed="0" w:uiPriority="62" w:semiHidden="0" w:name="Light Grid Accent 2"/>
    <w:lsdException w:unhideWhenUsed="0" w:uiPriority="63" w:semiHidden="0" w:name="Medium Shading 1 Accent 2"/>
    <w:lsdException w:qFormat="1" w:unhideWhenUsed="0" w:uiPriority="64" w:semiHidden="0" w:name="Medium Shading 2 Accent 2"/>
    <w:lsdException w:qFormat="1" w:unhideWhenUsed="0" w:uiPriority="65" w:semiHidden="0" w:name="Medium List 1 Accent 2"/>
    <w:lsdException w:qFormat="1" w:unhideWhenUsed="0" w:uiPriority="66" w:semiHidden="0" w:name="Medium List 2 Accent 2"/>
    <w:lsdException w:qFormat="1" w:unhideWhenUsed="0" w:uiPriority="67" w:semiHidden="0" w:name="Medium Grid 1 Accent 2"/>
    <w:lsdException w:qFormat="1" w:unhideWhenUsed="0" w:uiPriority="68" w:semiHidden="0" w:name="Medium Grid 2 Accent 2"/>
    <w:lsdException w:qFormat="1" w:unhideWhenUsed="0" w:uiPriority="69" w:semiHidden="0" w:name="Medium Grid 3 Accent 2"/>
    <w:lsdException w:qFormat="1" w:unhideWhenUsed="0" w:uiPriority="70" w:semiHidden="0" w:name="Dark List Accent 2"/>
    <w:lsdException w:qFormat="1" w:unhideWhenUsed="0" w:uiPriority="71" w:semiHidden="0" w:name="Colorful Shading Accent 2"/>
    <w:lsdException w:qFormat="1" w:unhideWhenUsed="0" w:uiPriority="72" w:semiHidden="0" w:name="Colorful List Accent 2"/>
    <w:lsdException w:qFormat="1" w:unhideWhenUsed="0" w:uiPriority="73" w:semiHidden="0" w:name="Colorful Grid Accent 2"/>
    <w:lsdException w:qFormat="1"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qFormat="1" w:unhideWhenUsed="0" w:uiPriority="64" w:semiHidden="0" w:name="Medium Shading 2 Accent 3"/>
    <w:lsdException w:qFormat="1" w:unhideWhenUsed="0" w:uiPriority="65" w:semiHidden="0" w:name="Medium List 1 Accent 3"/>
    <w:lsdException w:qFormat="1" w:unhideWhenUsed="0" w:uiPriority="66" w:semiHidden="0" w:name="Medium List 2 Accent 3"/>
    <w:lsdException w:qFormat="1" w:unhideWhenUsed="0" w:uiPriority="67" w:semiHidden="0" w:name="Medium Grid 1 Accent 3"/>
    <w:lsdException w:qFormat="1" w:unhideWhenUsed="0" w:uiPriority="68" w:semiHidden="0" w:name="Medium Grid 2 Accent 3"/>
    <w:lsdException w:qFormat="1" w:unhideWhenUsed="0" w:uiPriority="69" w:semiHidden="0" w:name="Medium Grid 3 Accent 3"/>
    <w:lsdException w:qFormat="1" w:unhideWhenUsed="0" w:uiPriority="70" w:semiHidden="0" w:name="Dark List Accent 3"/>
    <w:lsdException w:qFormat="1" w:unhideWhenUsed="0" w:uiPriority="71" w:semiHidden="0" w:name="Colorful Shading Accent 3"/>
    <w:lsdException w:qFormat="1" w:unhideWhenUsed="0" w:uiPriority="72" w:semiHidden="0" w:name="Colorful List Accent 3"/>
    <w:lsdException w:qFormat="1" w:unhideWhenUsed="0" w:uiPriority="73" w:semiHidden="0" w:name="Colorful Grid Accent 3"/>
    <w:lsdException w:qFormat="1" w:unhideWhenUsed="0" w:uiPriority="60" w:semiHidden="0" w:name="Light Shading Accent 4"/>
    <w:lsdException w:qFormat="1" w:unhideWhenUsed="0" w:uiPriority="61" w:semiHidden="0" w:name="Light List Accent 4"/>
    <w:lsdException w:unhideWhenUsed="0" w:uiPriority="62" w:semiHidden="0" w:name="Light Grid Accent 4"/>
    <w:lsdException w:unhideWhenUsed="0" w:uiPriority="63" w:semiHidden="0" w:name="Medium Shading 1 Accent 4"/>
    <w:lsdException w:qFormat="1" w:unhideWhenUsed="0" w:uiPriority="64" w:semiHidden="0" w:name="Medium Shading 2 Accent 4"/>
    <w:lsdException w:qFormat="1" w:unhideWhenUsed="0" w:uiPriority="65" w:semiHidden="0" w:name="Medium List 1 Accent 4"/>
    <w:lsdException w:qFormat="1" w:unhideWhenUsed="0" w:uiPriority="66" w:semiHidden="0" w:name="Medium List 2 Accent 4"/>
    <w:lsdException w:qFormat="1" w:unhideWhenUsed="0" w:uiPriority="67" w:semiHidden="0" w:name="Medium Grid 1 Accent 4"/>
    <w:lsdException w:qFormat="1" w:unhideWhenUsed="0" w:uiPriority="68" w:semiHidden="0" w:name="Medium Grid 2 Accent 4"/>
    <w:lsdException w:qFormat="1" w:unhideWhenUsed="0" w:uiPriority="69" w:semiHidden="0" w:name="Medium Grid 3 Accent 4"/>
    <w:lsdException w:qFormat="1" w:unhideWhenUsed="0" w:uiPriority="70" w:semiHidden="0" w:name="Dark List Accent 4"/>
    <w:lsdException w:qFormat="1" w:unhideWhenUsed="0" w:uiPriority="71" w:semiHidden="0" w:name="Colorful Shading Accent 4"/>
    <w:lsdException w:qFormat="1" w:unhideWhenUsed="0" w:uiPriority="72" w:semiHidden="0" w:name="Colorful List Accent 4"/>
    <w:lsdException w:qFormat="1" w:unhideWhenUsed="0" w:uiPriority="73" w:semiHidden="0" w:name="Colorful Grid Accent 4"/>
    <w:lsdException w:qFormat="1"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qFormat="1" w:unhideWhenUsed="0" w:uiPriority="64" w:semiHidden="0" w:name="Medium Shading 2 Accent 5"/>
    <w:lsdException w:qFormat="1" w:unhideWhenUsed="0" w:uiPriority="65" w:semiHidden="0" w:name="Medium List 1 Accent 5"/>
    <w:lsdException w:qFormat="1" w:unhideWhenUsed="0" w:uiPriority="66" w:semiHidden="0" w:name="Medium List 2 Accent 5"/>
    <w:lsdException w:qFormat="1" w:unhideWhenUsed="0" w:uiPriority="67" w:semiHidden="0" w:name="Medium Grid 1 Accent 5"/>
    <w:lsdException w:qFormat="1" w:unhideWhenUsed="0" w:uiPriority="68" w:semiHidden="0" w:name="Medium Grid 2 Accent 5"/>
    <w:lsdException w:qFormat="1" w:unhideWhenUsed="0" w:uiPriority="69" w:semiHidden="0" w:name="Medium Grid 3 Accent 5"/>
    <w:lsdException w:qFormat="1" w:unhideWhenUsed="0" w:uiPriority="70" w:semiHidden="0" w:name="Dark List Accent 5"/>
    <w:lsdException w:qFormat="1" w:unhideWhenUsed="0" w:uiPriority="71" w:semiHidden="0" w:name="Colorful Shading Accent 5"/>
    <w:lsdException w:qFormat="1" w:unhideWhenUsed="0" w:uiPriority="72" w:semiHidden="0" w:name="Colorful List Accent 5"/>
    <w:lsdException w:qFormat="1" w:unhideWhenUsed="0" w:uiPriority="73" w:semiHidden="0" w:name="Colorful Grid Accent 5"/>
    <w:lsdException w:qFormat="1" w:unhideWhenUsed="0" w:uiPriority="60" w:semiHidden="0" w:name="Light Shading Accent 6"/>
    <w:lsdException w:unhideWhenUsed="0" w:uiPriority="61" w:semiHidden="0" w:name="Light List Accent 6"/>
    <w:lsdException w:unhideWhenUsed="0" w:uiPriority="62" w:semiHidden="0" w:name="Light Grid Accent 6"/>
    <w:lsdException w:qFormat="1" w:unhideWhenUsed="0" w:uiPriority="63" w:semiHidden="0" w:name="Medium Shading 1 Accent 6"/>
    <w:lsdException w:qFormat="1" w:unhideWhenUsed="0" w:uiPriority="64" w:semiHidden="0" w:name="Medium Shading 2 Accent 6"/>
    <w:lsdException w:qFormat="1" w:unhideWhenUsed="0" w:uiPriority="65" w:semiHidden="0" w:name="Medium List 1 Accent 6"/>
    <w:lsdException w:qFormat="1" w:unhideWhenUsed="0" w:uiPriority="66" w:semiHidden="0" w:name="Medium List 2 Accent 6"/>
    <w:lsdException w:qFormat="1" w:unhideWhenUsed="0" w:uiPriority="67" w:semiHidden="0" w:name="Medium Grid 1 Accent 6"/>
    <w:lsdException w:qFormat="1" w:unhideWhenUsed="0" w:uiPriority="68" w:semiHidden="0" w:name="Medium Grid 2 Accent 6"/>
    <w:lsdException w:qFormat="1" w:unhideWhenUsed="0" w:uiPriority="69" w:semiHidden="0" w:name="Medium Grid 3 Accent 6"/>
    <w:lsdException w:qFormat="1" w:unhideWhenUsed="0" w:uiPriority="70" w:semiHidden="0" w:name="Dark List Accent 6"/>
    <w:lsdException w:qFormat="1" w:unhideWhenUsed="0" w:uiPriority="71" w:semiHidden="0" w:name="Colorful Shading Accent 6"/>
    <w:lsdException w:qFormat="1" w:unhideWhenUsed="0" w:uiPriority="72" w:semiHidden="0" w:name="Colorful List Accent 6"/>
    <w:lsdException w:qFormat="1" w:unhideWhenUsed="0" w:uiPriority="73" w:semiHidden="0" w:name="Colorful Grid Accent 6"/>
  </w:latentStyles>
  <w:style w:type="paragraph" w:default="1" w:styleId="1">
    <w:name w:val="Normal"/>
    <w:qFormat/>
    <w:uiPriority w:val="0"/>
    <w:pPr>
      <w:spacing w:after="200" w:line="360" w:lineRule="auto"/>
    </w:pPr>
    <w:rPr>
      <w:rFonts w:ascii="宋体" w:hAnsi="宋体" w:eastAsia="宋体" w:cstheme="minorBidi"/>
      <w:sz w:val="24"/>
      <w:szCs w:val="22"/>
      <w:lang w:val="en-US" w:eastAsia="en-US" w:bidi="ar-SA"/>
    </w:rPr>
  </w:style>
  <w:style w:type="paragraph" w:styleId="3">
    <w:name w:val="heading 1"/>
    <w:basedOn w:val="1"/>
    <w:next w:val="1"/>
    <w:link w:val="139"/>
    <w:qFormat/>
    <w:uiPriority w:val="9"/>
    <w:pPr>
      <w:keepNext/>
      <w:keepLines/>
      <w:spacing w:before="480" w:after="0"/>
      <w:outlineLvl w:val="0"/>
    </w:pPr>
    <w:rPr>
      <w:rFonts w:asciiTheme="majorHAnsi" w:hAnsiTheme="majorHAnsi" w:eastAsiaTheme="majorEastAsia" w:cstheme="majorBidi"/>
      <w:b/>
      <w:bCs/>
      <w:color w:val="376092" w:themeColor="accent1" w:themeShade="BF"/>
      <w:sz w:val="28"/>
      <w:szCs w:val="28"/>
    </w:rPr>
  </w:style>
  <w:style w:type="paragraph" w:styleId="4">
    <w:name w:val="heading 2"/>
    <w:basedOn w:val="1"/>
    <w:next w:val="1"/>
    <w:link w:val="140"/>
    <w:unhideWhenUsed/>
    <w:qFormat/>
    <w:uiPriority w:val="9"/>
    <w:pPr>
      <w:keepNext/>
      <w:keepLines/>
      <w:spacing w:before="200" w:after="0"/>
      <w:outlineLvl w:val="1"/>
    </w:pPr>
    <w:rPr>
      <w:rFonts w:asciiTheme="majorHAnsi" w:hAnsiTheme="majorHAnsi" w:eastAsiaTheme="majorEastAsia" w:cstheme="majorBidi"/>
      <w:b/>
      <w:bCs/>
      <w:color w:val="4F81BD" w:themeColor="accent1"/>
      <w:sz w:val="26"/>
      <w:szCs w:val="26"/>
      <w14:textFill>
        <w14:solidFill>
          <w14:schemeClr w14:val="accent1"/>
        </w14:solidFill>
      </w14:textFill>
    </w:rPr>
  </w:style>
  <w:style w:type="paragraph" w:styleId="5">
    <w:name w:val="heading 3"/>
    <w:basedOn w:val="1"/>
    <w:next w:val="1"/>
    <w:link w:val="141"/>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6">
    <w:name w:val="heading 4"/>
    <w:basedOn w:val="1"/>
    <w:next w:val="1"/>
    <w:link w:val="151"/>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7">
    <w:name w:val="heading 5"/>
    <w:basedOn w:val="1"/>
    <w:next w:val="1"/>
    <w:link w:val="152"/>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8">
    <w:name w:val="heading 6"/>
    <w:basedOn w:val="1"/>
    <w:next w:val="1"/>
    <w:link w:val="153"/>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9">
    <w:name w:val="heading 7"/>
    <w:basedOn w:val="1"/>
    <w:next w:val="1"/>
    <w:link w:val="154"/>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10">
    <w:name w:val="heading 8"/>
    <w:basedOn w:val="1"/>
    <w:next w:val="1"/>
    <w:link w:val="155"/>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1">
    <w:name w:val="heading 9"/>
    <w:basedOn w:val="1"/>
    <w:next w:val="1"/>
    <w:link w:val="156"/>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32">
    <w:name w:val="Default Paragraph Font"/>
    <w:semiHidden/>
    <w:unhideWhenUsed/>
    <w:uiPriority w:val="1"/>
  </w:style>
  <w:style w:type="table" w:default="1" w:styleId="32">
    <w:name w:val="Normal Table"/>
    <w:semiHidden/>
    <w:unhideWhenUsed/>
    <w:uiPriority w:val="99"/>
    <w:tblPr>
      <w:tblCellMar>
        <w:top w:w="0" w:type="dxa"/>
        <w:left w:w="108" w:type="dxa"/>
        <w:bottom w:w="0" w:type="dxa"/>
        <w:right w:w="108" w:type="dxa"/>
      </w:tblCellMar>
    </w:tblPr>
  </w:style>
  <w:style w:type="paragraph" w:styleId="2">
    <w:name w:val="macro"/>
    <w:link w:val="148"/>
    <w:unhideWhenUsed/>
    <w:qFormat/>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paragraph" w:styleId="12">
    <w:name w:val="List 3"/>
    <w:basedOn w:val="1"/>
    <w:unhideWhenUsed/>
    <w:uiPriority w:val="99"/>
    <w:pPr>
      <w:ind w:left="1080" w:hanging="360"/>
      <w:contextualSpacing/>
    </w:pPr>
  </w:style>
  <w:style w:type="paragraph" w:styleId="13">
    <w:name w:val="List Number 2"/>
    <w:basedOn w:val="1"/>
    <w:unhideWhenUsed/>
    <w:qFormat/>
    <w:uiPriority w:val="99"/>
    <w:pPr>
      <w:numPr>
        <w:ilvl w:val="0"/>
        <w:numId w:val="1"/>
      </w:numPr>
      <w:contextualSpacing/>
    </w:pPr>
  </w:style>
  <w:style w:type="paragraph" w:styleId="14">
    <w:name w:val="List Number"/>
    <w:basedOn w:val="1"/>
    <w:unhideWhenUsed/>
    <w:uiPriority w:val="99"/>
    <w:pPr>
      <w:numPr>
        <w:ilvl w:val="0"/>
        <w:numId w:val="2"/>
      </w:numPr>
      <w:contextualSpacing/>
    </w:pPr>
  </w:style>
  <w:style w:type="paragraph" w:styleId="15">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paragraph" w:styleId="16">
    <w:name w:val="List Bullet"/>
    <w:basedOn w:val="1"/>
    <w:unhideWhenUsed/>
    <w:uiPriority w:val="99"/>
    <w:pPr>
      <w:numPr>
        <w:ilvl w:val="0"/>
        <w:numId w:val="3"/>
      </w:numPr>
      <w:contextualSpacing/>
    </w:pPr>
  </w:style>
  <w:style w:type="paragraph" w:styleId="17">
    <w:name w:val="Body Text 3"/>
    <w:basedOn w:val="1"/>
    <w:link w:val="147"/>
    <w:unhideWhenUsed/>
    <w:uiPriority w:val="99"/>
    <w:pPr>
      <w:spacing w:after="120"/>
    </w:pPr>
    <w:rPr>
      <w:sz w:val="16"/>
      <w:szCs w:val="16"/>
    </w:rPr>
  </w:style>
  <w:style w:type="paragraph" w:styleId="18">
    <w:name w:val="List Bullet 3"/>
    <w:basedOn w:val="1"/>
    <w:unhideWhenUsed/>
    <w:qFormat/>
    <w:uiPriority w:val="99"/>
    <w:pPr>
      <w:numPr>
        <w:ilvl w:val="0"/>
        <w:numId w:val="4"/>
      </w:numPr>
      <w:contextualSpacing/>
    </w:pPr>
  </w:style>
  <w:style w:type="paragraph" w:styleId="19">
    <w:name w:val="Body Text"/>
    <w:basedOn w:val="1"/>
    <w:link w:val="145"/>
    <w:unhideWhenUsed/>
    <w:uiPriority w:val="99"/>
    <w:pPr>
      <w:spacing w:after="120"/>
    </w:pPr>
  </w:style>
  <w:style w:type="paragraph" w:styleId="20">
    <w:name w:val="List Number 3"/>
    <w:basedOn w:val="1"/>
    <w:unhideWhenUsed/>
    <w:qFormat/>
    <w:uiPriority w:val="99"/>
    <w:pPr>
      <w:numPr>
        <w:ilvl w:val="0"/>
        <w:numId w:val="5"/>
      </w:numPr>
      <w:contextualSpacing/>
    </w:pPr>
  </w:style>
  <w:style w:type="paragraph" w:styleId="21">
    <w:name w:val="List 2"/>
    <w:basedOn w:val="1"/>
    <w:unhideWhenUsed/>
    <w:uiPriority w:val="99"/>
    <w:pPr>
      <w:ind w:left="720" w:hanging="360"/>
      <w:contextualSpacing/>
    </w:pPr>
  </w:style>
  <w:style w:type="paragraph" w:styleId="22">
    <w:name w:val="List Continue"/>
    <w:basedOn w:val="1"/>
    <w:unhideWhenUsed/>
    <w:qFormat/>
    <w:uiPriority w:val="99"/>
    <w:pPr>
      <w:spacing w:after="120"/>
      <w:ind w:left="360"/>
      <w:contextualSpacing/>
    </w:pPr>
  </w:style>
  <w:style w:type="paragraph" w:styleId="23">
    <w:name w:val="List Bullet 2"/>
    <w:basedOn w:val="1"/>
    <w:unhideWhenUsed/>
    <w:uiPriority w:val="99"/>
    <w:pPr>
      <w:numPr>
        <w:ilvl w:val="0"/>
        <w:numId w:val="6"/>
      </w:numPr>
      <w:contextualSpacing/>
    </w:pPr>
  </w:style>
  <w:style w:type="paragraph" w:styleId="24">
    <w:name w:val="footer"/>
    <w:basedOn w:val="1"/>
    <w:link w:val="137"/>
    <w:unhideWhenUsed/>
    <w:qFormat/>
    <w:uiPriority w:val="99"/>
    <w:pPr>
      <w:tabs>
        <w:tab w:val="center" w:pos="4680"/>
        <w:tab w:val="right" w:pos="9360"/>
      </w:tabs>
      <w:spacing w:after="0" w:line="240" w:lineRule="auto"/>
    </w:pPr>
  </w:style>
  <w:style w:type="paragraph" w:styleId="25">
    <w:name w:val="header"/>
    <w:basedOn w:val="1"/>
    <w:link w:val="136"/>
    <w:unhideWhenUsed/>
    <w:uiPriority w:val="99"/>
    <w:pPr>
      <w:tabs>
        <w:tab w:val="center" w:pos="4680"/>
        <w:tab w:val="right" w:pos="9360"/>
      </w:tabs>
      <w:spacing w:after="0" w:line="240" w:lineRule="auto"/>
    </w:pPr>
  </w:style>
  <w:style w:type="paragraph" w:styleId="26">
    <w:name w:val="Subtitle"/>
    <w:basedOn w:val="1"/>
    <w:next w:val="1"/>
    <w:link w:val="143"/>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27">
    <w:name w:val="List"/>
    <w:basedOn w:val="1"/>
    <w:unhideWhenUsed/>
    <w:uiPriority w:val="99"/>
    <w:pPr>
      <w:ind w:left="360" w:hanging="360"/>
      <w:contextualSpacing/>
    </w:pPr>
  </w:style>
  <w:style w:type="paragraph" w:styleId="28">
    <w:name w:val="Body Text 2"/>
    <w:basedOn w:val="1"/>
    <w:link w:val="146"/>
    <w:unhideWhenUsed/>
    <w:uiPriority w:val="99"/>
    <w:pPr>
      <w:spacing w:after="120" w:line="480" w:lineRule="auto"/>
    </w:pPr>
  </w:style>
  <w:style w:type="paragraph" w:styleId="29">
    <w:name w:val="List Continue 2"/>
    <w:basedOn w:val="1"/>
    <w:unhideWhenUsed/>
    <w:qFormat/>
    <w:uiPriority w:val="99"/>
    <w:pPr>
      <w:spacing w:after="120"/>
      <w:ind w:left="720"/>
      <w:contextualSpacing/>
    </w:pPr>
  </w:style>
  <w:style w:type="paragraph" w:styleId="30">
    <w:name w:val="List Continue 3"/>
    <w:basedOn w:val="1"/>
    <w:unhideWhenUsed/>
    <w:qFormat/>
    <w:uiPriority w:val="99"/>
    <w:pPr>
      <w:spacing w:after="120"/>
      <w:ind w:left="1080"/>
      <w:contextualSpacing/>
    </w:pPr>
  </w:style>
  <w:style w:type="paragraph" w:styleId="31">
    <w:name w:val="Title"/>
    <w:basedOn w:val="1"/>
    <w:next w:val="1"/>
    <w:link w:val="142"/>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3">
    <w:name w:val="Table Grid"/>
    <w:basedOn w:val="32"/>
    <w:qFormat/>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34">
    <w:name w:val="Light Shading"/>
    <w:basedOn w:val="32"/>
    <w:qFormat/>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5">
    <w:name w:val="Light Shading Accent 1"/>
    <w:basedOn w:val="32"/>
    <w:qFormat/>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6">
    <w:name w:val="Light Shading Accent 2"/>
    <w:basedOn w:val="32"/>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37">
    <w:name w:val="Light Shading Accent 3"/>
    <w:basedOn w:val="32"/>
    <w:qFormat/>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38">
    <w:name w:val="Light Shading Accent 4"/>
    <w:basedOn w:val="32"/>
    <w:qFormat/>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39">
    <w:name w:val="Light Shading Accent 5"/>
    <w:basedOn w:val="32"/>
    <w:qFormat/>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0">
    <w:name w:val="Light Shading Accent 6"/>
    <w:basedOn w:val="32"/>
    <w:qFormat/>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1">
    <w:name w:val="Light List"/>
    <w:basedOn w:val="32"/>
    <w:qFormat/>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2">
    <w:name w:val="Light List Accent 1"/>
    <w:basedOn w:val="32"/>
    <w:qFormat/>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3">
    <w:name w:val="Light List Accent 2"/>
    <w:basedOn w:val="32"/>
    <w:qFormat/>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4">
    <w:name w:val="Light List Accent 3"/>
    <w:basedOn w:val="32"/>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5">
    <w:name w:val="Light List Accent 4"/>
    <w:basedOn w:val="32"/>
    <w:qFormat/>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6">
    <w:name w:val="Light List Accent 5"/>
    <w:basedOn w:val="32"/>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47">
    <w:name w:val="Light List Accent 6"/>
    <w:basedOn w:val="32"/>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48">
    <w:name w:val="Light Grid"/>
    <w:basedOn w:val="32"/>
    <w:qFormat/>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49">
    <w:name w:val="Light Grid Accent 1"/>
    <w:basedOn w:val="32"/>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0">
    <w:name w:val="Light Grid Accent 2"/>
    <w:basedOn w:val="32"/>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1">
    <w:name w:val="Light Grid Accent 3"/>
    <w:basedOn w:val="32"/>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2">
    <w:name w:val="Light Grid Accent 4"/>
    <w:basedOn w:val="32"/>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3">
    <w:name w:val="Light Grid Accent 5"/>
    <w:basedOn w:val="32"/>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4">
    <w:name w:val="Light Grid Accent 6"/>
    <w:basedOn w:val="32"/>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5">
    <w:name w:val="Medium Shading 1"/>
    <w:basedOn w:val="32"/>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6">
    <w:name w:val="Medium Shading 1 Accent 1"/>
    <w:basedOn w:val="32"/>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57">
    <w:name w:val="Medium Shading 1 Accent 2"/>
    <w:basedOn w:val="32"/>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58">
    <w:name w:val="Medium Shading 1 Accent 3"/>
    <w:basedOn w:val="32"/>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59">
    <w:name w:val="Medium Shading 1 Accent 4"/>
    <w:basedOn w:val="32"/>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0">
    <w:name w:val="Medium Shading 1 Accent 5"/>
    <w:basedOn w:val="32"/>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1">
    <w:name w:val="Medium Shading 1 Accent 6"/>
    <w:basedOn w:val="32"/>
    <w:qFormat/>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2">
    <w:name w:val="Medium Shading 2"/>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3">
    <w:name w:val="Medium Shading 2 Accent 1"/>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4">
    <w:name w:val="Medium Shading 2 Accent 2"/>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5">
    <w:name w:val="Medium Shading 2 Accent 3"/>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4"/>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5"/>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6"/>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List 1"/>
    <w:basedOn w:val="32"/>
    <w:qFormat/>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0">
    <w:name w:val="Medium List 1 Accent 1"/>
    <w:basedOn w:val="32"/>
    <w:qFormat/>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1">
    <w:name w:val="Medium List 1 Accent 2"/>
    <w:basedOn w:val="32"/>
    <w:qFormat/>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2">
    <w:name w:val="Medium List 1 Accent 3"/>
    <w:basedOn w:val="32"/>
    <w:qFormat/>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3">
    <w:name w:val="Medium List 1 Accent 4"/>
    <w:basedOn w:val="32"/>
    <w:qFormat/>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4">
    <w:name w:val="Medium List 1 Accent 5"/>
    <w:basedOn w:val="32"/>
    <w:qFormat/>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5">
    <w:name w:val="Medium List 1 Accent 6"/>
    <w:basedOn w:val="32"/>
    <w:qFormat/>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6">
    <w:name w:val="Medium List 2"/>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77">
    <w:name w:val="Medium List 2 Accent 1"/>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78">
    <w:name w:val="Medium List 2 Accent 2"/>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79">
    <w:name w:val="Medium List 2 Accent 3"/>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4"/>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5"/>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6"/>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Grid 1"/>
    <w:basedOn w:val="32"/>
    <w:qFormat/>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4">
    <w:name w:val="Medium Grid 1 Accent 1"/>
    <w:basedOn w:val="32"/>
    <w:qFormat/>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5">
    <w:name w:val="Medium Grid 1 Accent 2"/>
    <w:basedOn w:val="32"/>
    <w:qFormat/>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6">
    <w:name w:val="Medium Grid 1 Accent 3"/>
    <w:basedOn w:val="32"/>
    <w:qFormat/>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87">
    <w:name w:val="Medium Grid 1 Accent 4"/>
    <w:basedOn w:val="32"/>
    <w:qFormat/>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88">
    <w:name w:val="Medium Grid 1 Accent 5"/>
    <w:basedOn w:val="32"/>
    <w:qFormat/>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89">
    <w:name w:val="Medium Grid 1 Accent 6"/>
    <w:basedOn w:val="32"/>
    <w:qFormat/>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0">
    <w:name w:val="Medium Grid 2"/>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1">
    <w:name w:val="Medium Grid 2 Accent 1"/>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2">
    <w:name w:val="Medium Grid 2 Accent 2"/>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3">
    <w:name w:val="Medium Grid 2 Accent 3"/>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4">
    <w:name w:val="Medium Grid 2 Accent 4"/>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5">
    <w:name w:val="Medium Grid 2 Accent 5"/>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6">
    <w:name w:val="Medium Grid 2 Accent 6"/>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97">
    <w:name w:val="Medium Grid 3"/>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98">
    <w:name w:val="Medium Grid 3 Accent 1"/>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99">
    <w:name w:val="Medium Grid 3 Accent 2"/>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0">
    <w:name w:val="Medium Grid 3 Accent 3"/>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1">
    <w:name w:val="Medium Grid 3 Accent 4"/>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2">
    <w:name w:val="Medium Grid 3 Accent 5"/>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3">
    <w:name w:val="Medium Grid 3 Accent 6"/>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4">
    <w:name w:val="Dark List"/>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5">
    <w:name w:val="Dark List Accent 1"/>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6">
    <w:name w:val="Dark List Accent 2"/>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07">
    <w:name w:val="Dark List Accent 3"/>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08">
    <w:name w:val="Dark List Accent 4"/>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09">
    <w:name w:val="Dark List Accent 5"/>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0">
    <w:name w:val="Dark List Accent 6"/>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1">
    <w:name w:val="Colorful Shading"/>
    <w:basedOn w:val="3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2">
    <w:name w:val="Colorful Shading Accent 1"/>
    <w:basedOn w:val="3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3">
    <w:name w:val="Colorful Shading Accent 2"/>
    <w:basedOn w:val="3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4">
    <w:name w:val="Colorful Shading Accent 3"/>
    <w:basedOn w:val="32"/>
    <w:qFormat/>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5">
    <w:name w:val="Colorful Shading Accent 4"/>
    <w:basedOn w:val="32"/>
    <w:qFormat/>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5"/>
    <w:basedOn w:val="32"/>
    <w:qFormat/>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6"/>
    <w:basedOn w:val="32"/>
    <w:qFormat/>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8">
    <w:name w:val="Colorful List"/>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19">
    <w:name w:val="Colorful List Accent 1"/>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0">
    <w:name w:val="Colorful List Accent 2"/>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1">
    <w:name w:val="Colorful List Accent 3"/>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2">
    <w:name w:val="Colorful List Accent 4"/>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3">
    <w:name w:val="Colorful List Accent 5"/>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4">
    <w:name w:val="Colorful List Accent 6"/>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5">
    <w:name w:val="Colorful Grid"/>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6">
    <w:name w:val="Colorful Grid Accent 1"/>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27">
    <w:name w:val="Colorful Grid Accent 2"/>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28">
    <w:name w:val="Colorful Grid Accent 3"/>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29">
    <w:name w:val="Colorful Grid Accent 4"/>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0">
    <w:name w:val="Colorful Grid Accent 5"/>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1">
    <w:name w:val="Colorful Grid Accent 6"/>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133">
    <w:name w:val="Strong"/>
    <w:basedOn w:val="132"/>
    <w:qFormat/>
    <w:uiPriority w:val="22"/>
    <w:rPr>
      <w:b/>
      <w:bCs/>
    </w:rPr>
  </w:style>
  <w:style w:type="character" w:styleId="134">
    <w:name w:val="Emphasis"/>
    <w:basedOn w:val="132"/>
    <w:qFormat/>
    <w:uiPriority w:val="20"/>
    <w:rPr>
      <w:i/>
      <w:iCs/>
    </w:rPr>
  </w:style>
  <w:style w:type="character" w:styleId="135">
    <w:name w:val="Hyperlink"/>
    <w:basedOn w:val="132"/>
    <w:semiHidden/>
    <w:unhideWhenUsed/>
    <w:uiPriority w:val="99"/>
    <w:rPr>
      <w:color w:val="0000FF"/>
      <w:u w:val="single"/>
    </w:rPr>
  </w:style>
  <w:style w:type="character" w:customStyle="1" w:styleId="136">
    <w:name w:val="Header Char"/>
    <w:basedOn w:val="132"/>
    <w:link w:val="25"/>
    <w:uiPriority w:val="99"/>
  </w:style>
  <w:style w:type="character" w:customStyle="1" w:styleId="137">
    <w:name w:val="Footer Char"/>
    <w:basedOn w:val="132"/>
    <w:link w:val="24"/>
    <w:uiPriority w:val="99"/>
  </w:style>
  <w:style w:type="paragraph" w:styleId="138">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9">
    <w:name w:val="Heading 1 Char"/>
    <w:basedOn w:val="132"/>
    <w:link w:val="3"/>
    <w:uiPriority w:val="9"/>
    <w:rPr>
      <w:rFonts w:asciiTheme="majorHAnsi" w:hAnsiTheme="majorHAnsi" w:eastAsiaTheme="majorEastAsia" w:cstheme="majorBidi"/>
      <w:b/>
      <w:bCs/>
      <w:color w:val="376092" w:themeColor="accent1" w:themeShade="BF"/>
      <w:sz w:val="28"/>
      <w:szCs w:val="28"/>
    </w:rPr>
  </w:style>
  <w:style w:type="character" w:customStyle="1" w:styleId="140">
    <w:name w:val="Heading 2 Char"/>
    <w:basedOn w:val="132"/>
    <w:link w:val="4"/>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1">
    <w:name w:val="Heading 3 Char"/>
    <w:basedOn w:val="132"/>
    <w:link w:val="5"/>
    <w:qFormat/>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2">
    <w:name w:val="Title Char"/>
    <w:basedOn w:val="132"/>
    <w:link w:val="31"/>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3">
    <w:name w:val="Subtitle Char"/>
    <w:basedOn w:val="132"/>
    <w:link w:val="26"/>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4">
    <w:name w:val="List Paragraph"/>
    <w:basedOn w:val="1"/>
    <w:qFormat/>
    <w:uiPriority w:val="34"/>
    <w:pPr>
      <w:ind w:left="720"/>
      <w:contextualSpacing/>
    </w:pPr>
  </w:style>
  <w:style w:type="character" w:customStyle="1" w:styleId="145">
    <w:name w:val="Body Text Char"/>
    <w:basedOn w:val="132"/>
    <w:link w:val="19"/>
    <w:qFormat/>
    <w:uiPriority w:val="99"/>
  </w:style>
  <w:style w:type="character" w:customStyle="1" w:styleId="146">
    <w:name w:val="Body Text 2 Char"/>
    <w:basedOn w:val="132"/>
    <w:link w:val="28"/>
    <w:qFormat/>
    <w:uiPriority w:val="99"/>
  </w:style>
  <w:style w:type="character" w:customStyle="1" w:styleId="147">
    <w:name w:val="Body Text 3 Char"/>
    <w:basedOn w:val="132"/>
    <w:link w:val="17"/>
    <w:uiPriority w:val="99"/>
    <w:rPr>
      <w:sz w:val="16"/>
      <w:szCs w:val="16"/>
    </w:rPr>
  </w:style>
  <w:style w:type="character" w:customStyle="1" w:styleId="148">
    <w:name w:val="Macro Text Char"/>
    <w:basedOn w:val="132"/>
    <w:link w:val="2"/>
    <w:qFormat/>
    <w:uiPriority w:val="99"/>
    <w:rPr>
      <w:rFonts w:ascii="Courier" w:hAnsi="Courier"/>
      <w:sz w:val="20"/>
      <w:szCs w:val="20"/>
    </w:rPr>
  </w:style>
  <w:style w:type="paragraph" w:styleId="149">
    <w:name w:val="Quote"/>
    <w:basedOn w:val="1"/>
    <w:next w:val="1"/>
    <w:link w:val="150"/>
    <w:qFormat/>
    <w:uiPriority w:val="29"/>
    <w:rPr>
      <w:i/>
      <w:iCs/>
      <w:color w:val="000000" w:themeColor="text1"/>
      <w14:textFill>
        <w14:solidFill>
          <w14:schemeClr w14:val="tx1"/>
        </w14:solidFill>
      </w14:textFill>
    </w:rPr>
  </w:style>
  <w:style w:type="character" w:customStyle="1" w:styleId="150">
    <w:name w:val="Quote Char"/>
    <w:basedOn w:val="132"/>
    <w:link w:val="149"/>
    <w:qFormat/>
    <w:uiPriority w:val="29"/>
    <w:rPr>
      <w:i/>
      <w:iCs/>
      <w:color w:val="000000" w:themeColor="text1"/>
      <w14:textFill>
        <w14:solidFill>
          <w14:schemeClr w14:val="tx1"/>
        </w14:solidFill>
      </w14:textFill>
    </w:rPr>
  </w:style>
  <w:style w:type="character" w:customStyle="1" w:styleId="151">
    <w:name w:val="Heading 4 Char"/>
    <w:basedOn w:val="132"/>
    <w:link w:val="6"/>
    <w:semiHidden/>
    <w:qFormat/>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2">
    <w:name w:val="Heading 5 Char"/>
    <w:basedOn w:val="132"/>
    <w:link w:val="7"/>
    <w:semiHidden/>
    <w:qFormat/>
    <w:uiPriority w:val="9"/>
    <w:rPr>
      <w:rFonts w:asciiTheme="majorHAnsi" w:hAnsiTheme="majorHAnsi" w:eastAsiaTheme="majorEastAsia" w:cstheme="majorBidi"/>
      <w:color w:val="254061" w:themeColor="accent1" w:themeShade="80"/>
    </w:rPr>
  </w:style>
  <w:style w:type="character" w:customStyle="1" w:styleId="153">
    <w:name w:val="Heading 6 Char"/>
    <w:basedOn w:val="132"/>
    <w:link w:val="8"/>
    <w:semiHidden/>
    <w:qFormat/>
    <w:uiPriority w:val="9"/>
    <w:rPr>
      <w:rFonts w:asciiTheme="majorHAnsi" w:hAnsiTheme="majorHAnsi" w:eastAsiaTheme="majorEastAsia" w:cstheme="majorBidi"/>
      <w:i/>
      <w:iCs/>
      <w:color w:val="254061" w:themeColor="accent1" w:themeShade="80"/>
    </w:rPr>
  </w:style>
  <w:style w:type="character" w:customStyle="1" w:styleId="154">
    <w:name w:val="Heading 7 Char"/>
    <w:basedOn w:val="132"/>
    <w:link w:val="9"/>
    <w:semiHidden/>
    <w:qFormat/>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5">
    <w:name w:val="Heading 8 Char"/>
    <w:basedOn w:val="132"/>
    <w:link w:val="10"/>
    <w:semiHidden/>
    <w:qFormat/>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6">
    <w:name w:val="Heading 9 Char"/>
    <w:basedOn w:val="132"/>
    <w:link w:val="11"/>
    <w:semiHidden/>
    <w:qFormat/>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7">
    <w:name w:val="Intense Quote"/>
    <w:basedOn w:val="1"/>
    <w:next w:val="1"/>
    <w:link w:val="158"/>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8">
    <w:name w:val="Intense Quote Char"/>
    <w:basedOn w:val="132"/>
    <w:link w:val="157"/>
    <w:qFormat/>
    <w:uiPriority w:val="30"/>
    <w:rPr>
      <w:b/>
      <w:bCs/>
      <w:i/>
      <w:iCs/>
      <w:color w:val="4F81BD" w:themeColor="accent1"/>
      <w14:textFill>
        <w14:solidFill>
          <w14:schemeClr w14:val="accent1"/>
        </w14:solidFill>
      </w14:textFill>
    </w:rPr>
  </w:style>
  <w:style w:type="character" w:customStyle="1" w:styleId="159">
    <w:name w:val="Subtle Emphasis"/>
    <w:basedOn w:val="132"/>
    <w:qFormat/>
    <w:uiPriority w:val="19"/>
    <w:rPr>
      <w:i/>
      <w:iCs/>
      <w:color w:val="808080" w:themeColor="text1" w:themeTint="80"/>
      <w14:textFill>
        <w14:solidFill>
          <w14:schemeClr w14:val="tx1">
            <w14:lumMod w14:val="50000"/>
            <w14:lumOff w14:val="50000"/>
          </w14:schemeClr>
        </w14:solidFill>
      </w14:textFill>
    </w:rPr>
  </w:style>
  <w:style w:type="character" w:customStyle="1" w:styleId="160">
    <w:name w:val="Intense Emphasis"/>
    <w:basedOn w:val="132"/>
    <w:qFormat/>
    <w:uiPriority w:val="21"/>
    <w:rPr>
      <w:b/>
      <w:bCs/>
      <w:i/>
      <w:iCs/>
      <w:color w:val="4F81BD" w:themeColor="accent1"/>
      <w14:textFill>
        <w14:solidFill>
          <w14:schemeClr w14:val="accent1"/>
        </w14:solidFill>
      </w14:textFill>
    </w:rPr>
  </w:style>
  <w:style w:type="character" w:customStyle="1" w:styleId="161">
    <w:name w:val="Subtle Reference"/>
    <w:basedOn w:val="132"/>
    <w:qFormat/>
    <w:uiPriority w:val="31"/>
    <w:rPr>
      <w:smallCaps/>
      <w:color w:val="C0504D" w:themeColor="accent2"/>
      <w:u w:val="single"/>
      <w14:textFill>
        <w14:solidFill>
          <w14:schemeClr w14:val="accent2"/>
        </w14:solidFill>
      </w14:textFill>
    </w:rPr>
  </w:style>
  <w:style w:type="character" w:customStyle="1" w:styleId="162">
    <w:name w:val="Intense Reference"/>
    <w:basedOn w:val="132"/>
    <w:qFormat/>
    <w:uiPriority w:val="32"/>
    <w:rPr>
      <w:b/>
      <w:bCs/>
      <w:smallCaps/>
      <w:color w:val="C0504D" w:themeColor="accent2"/>
      <w:spacing w:val="5"/>
      <w:u w:val="single"/>
      <w14:textFill>
        <w14:solidFill>
          <w14:schemeClr w14:val="accent2"/>
        </w14:solidFill>
      </w14:textFill>
    </w:rPr>
  </w:style>
  <w:style w:type="character" w:customStyle="1" w:styleId="163">
    <w:name w:val="Book Title"/>
    <w:basedOn w:val="132"/>
    <w:qFormat/>
    <w:uiPriority w:val="33"/>
    <w:rPr>
      <w:b/>
      <w:bCs/>
      <w:smallCaps/>
      <w:spacing w:val="5"/>
    </w:rPr>
  </w:style>
  <w:style w:type="paragraph" w:customStyle="1" w:styleId="164">
    <w:name w:val="TOC Heading"/>
    <w:basedOn w:val="3"/>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9" Type="http://schemas.openxmlformats.org/officeDocument/2006/relationships/theme" Target="theme/theme1.xml"/><Relationship Id="rId8" Type="http://schemas.openxmlformats.org/officeDocument/2006/relationships/footer" Target="footer2.xml"/><Relationship Id="rId7" Type="http://schemas.openxmlformats.org/officeDocument/2006/relationships/footer" Target="footer1.xml"/><Relationship Id="rId6" Type="http://schemas.openxmlformats.org/officeDocument/2006/relationships/header" Target="header2.xml"/><Relationship Id="rId5" Type="http://schemas.openxmlformats.org/officeDocument/2006/relationships/header" Target="header1.xml"/><Relationship Id="rId4" Type="http://schemas.openxmlformats.org/officeDocument/2006/relationships/endnotes" Target="endnotes.xml"/><Relationship Id="rId33" Type="http://schemas.openxmlformats.org/officeDocument/2006/relationships/fontTable" Target="fontTable.xml"/><Relationship Id="rId32" Type="http://schemas.openxmlformats.org/officeDocument/2006/relationships/customXml" Target="../customXml/item1.xml"/><Relationship Id="rId31" Type="http://schemas.openxmlformats.org/officeDocument/2006/relationships/numbering" Target="numbering.xml"/><Relationship Id="rId30" Type="http://schemas.openxmlformats.org/officeDocument/2006/relationships/image" Target="media/image21.png"/><Relationship Id="rId3" Type="http://schemas.openxmlformats.org/officeDocument/2006/relationships/footnotes" Target="footnotes.xml"/><Relationship Id="rId29" Type="http://schemas.openxmlformats.org/officeDocument/2006/relationships/image" Target="media/image20.png"/><Relationship Id="rId28" Type="http://schemas.openxmlformats.org/officeDocument/2006/relationships/image" Target="media/image19.png"/><Relationship Id="rId27" Type="http://schemas.openxmlformats.org/officeDocument/2006/relationships/image" Target="media/image18.png"/><Relationship Id="rId26" Type="http://schemas.openxmlformats.org/officeDocument/2006/relationships/image" Target="media/image17.png"/><Relationship Id="rId25" Type="http://schemas.openxmlformats.org/officeDocument/2006/relationships/image" Target="media/image16.png"/><Relationship Id="rId24" Type="http://schemas.openxmlformats.org/officeDocument/2006/relationships/image" Target="media/image15.png"/><Relationship Id="rId23" Type="http://schemas.openxmlformats.org/officeDocument/2006/relationships/image" Target="media/image14.png"/><Relationship Id="rId22" Type="http://schemas.openxmlformats.org/officeDocument/2006/relationships/image" Target="media/image13.png"/><Relationship Id="rId21" Type="http://schemas.openxmlformats.org/officeDocument/2006/relationships/image" Target="media/image12.png"/><Relationship Id="rId20" Type="http://schemas.openxmlformats.org/officeDocument/2006/relationships/image" Target="media/image11.png"/><Relationship Id="rId2" Type="http://schemas.openxmlformats.org/officeDocument/2006/relationships/settings" Target="settings.xml"/><Relationship Id="rId19" Type="http://schemas.openxmlformats.org/officeDocument/2006/relationships/image" Target="media/image10.png"/><Relationship Id="rId18" Type="http://schemas.openxmlformats.org/officeDocument/2006/relationships/image" Target="media/image9.png"/><Relationship Id="rId17" Type="http://schemas.openxmlformats.org/officeDocument/2006/relationships/image" Target="media/image8.png"/><Relationship Id="rId16" Type="http://schemas.openxmlformats.org/officeDocument/2006/relationships/image" Target="media/image7.png"/><Relationship Id="rId15" Type="http://schemas.openxmlformats.org/officeDocument/2006/relationships/image" Target="media/image6.png"/><Relationship Id="rId14" Type="http://schemas.openxmlformats.org/officeDocument/2006/relationships/image" Target="media/image5.png"/><Relationship Id="rId13" Type="http://schemas.openxmlformats.org/officeDocument/2006/relationships/image" Target="media/image4.png"/><Relationship Id="rId12" Type="http://schemas.openxmlformats.org/officeDocument/2006/relationships/image" Target="media/image3.png"/><Relationship Id="rId11" Type="http://schemas.openxmlformats.org/officeDocument/2006/relationships/image" Target="media/image2.png"/><Relationship Id="rId10" Type="http://schemas.openxmlformats.org/officeDocument/2006/relationships/image" Target="media/image1.png"/><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22</Pages>
  <Words>86</Words>
  <Characters>101</Characters>
  <Lines>0</Lines>
  <Paragraphs>0</Paragraphs>
  <TotalTime>18</TotalTime>
  <ScaleCrop>false</ScaleCrop>
  <LinksUpToDate>false</LinksUpToDate>
  <CharactersWithSpaces>191</CharactersWithSpaces>
  <Application>WPS Office_12.1.0.29680_F1E327BC-269C-435d-A152-05C5408002CA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cp:lastModifiedBy>WPS_1649207993</cp:lastModifiedBy>
  <dcterms:modified xsi:type="dcterms:W3CDTF">2026-10-27T12:47:18Z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eyJoZGlkIjoiYzYyNTg1M2I1NzMwMzdmYjdkYTg4M2IyM2EwYjU3YjEiLCJ1c2VySWQiOiIxMzU4NTEwNTczIn0=</vt:lpwstr>
  </property>
  <property fmtid="{D5CDD505-2E9C-101B-9397-08002B2CF9AE}" pid="3" name="KSOProductBuildVer">
    <vt:lpwstr>2052-12.1.0.29680</vt:lpwstr>
  </property>
  <property fmtid="{D5CDD505-2E9C-101B-9397-08002B2CF9AE}" pid="4" name="ICV">
    <vt:lpwstr>D8696655F936444B8E4D669755B04F41_13</vt:lpwstr>
  </property>
</Properties>
</file>