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ACCBF">
      <w:pPr>
        <w:ind w:firstLine="0" w:firstLineChars="0"/>
        <w:jc w:val="center"/>
        <w:rPr>
          <w:rFonts w:hint="eastAsia" w:ascii="楷体_GB2312" w:eastAsia="楷体_GB2312"/>
          <w:b/>
          <w:sz w:val="72"/>
          <w:szCs w:val="72"/>
        </w:rPr>
      </w:pPr>
      <w:r>
        <w:rPr>
          <w:rFonts w:hint="eastAsia"/>
        </w:rPr>
        <w:drawing>
          <wp:inline distT="0" distB="0" distL="0" distR="0">
            <wp:extent cx="4545965" cy="1567180"/>
            <wp:effectExtent l="0" t="0" r="0" b="7620"/>
            <wp:docPr id="1409384588" name="图片 1" descr="lQLPKGuaFWG7GH_NBGrNDM-w3Xw41MuFQwgFy6wL6jGDAA_3279_1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84588" name="图片 1" descr="lQLPKGuaFWG7GH_NBGrNDM-w3Xw41MuFQwgFy6wL6jGDAA_3279_11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F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auto"/>
        <w:rPr>
          <w:rFonts w:ascii="楷体_GB2312" w:eastAsia="楷体_GB2312"/>
          <w:b/>
          <w:sz w:val="72"/>
          <w:szCs w:val="72"/>
        </w:rPr>
      </w:pPr>
      <w:r>
        <w:rPr>
          <w:rFonts w:hint="eastAsia" w:ascii="楷体_GB2312" w:eastAsia="楷体_GB2312"/>
          <w:b/>
          <w:sz w:val="72"/>
          <w:szCs w:val="72"/>
        </w:rPr>
        <w:t>商业数据分析</w:t>
      </w:r>
    </w:p>
    <w:p w14:paraId="3457F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560"/>
        <w:textAlignment w:val="auto"/>
        <w:rPr>
          <w:rFonts w:ascii="楷体_GB2312" w:eastAsia="楷体_GB2312"/>
          <w:sz w:val="28"/>
          <w:szCs w:val="28"/>
          <w:u w:val="single"/>
        </w:rPr>
      </w:pPr>
      <w:r>
        <w:rPr>
          <w:rFonts w:hint="eastAsia" w:ascii="楷体_GB2312" w:eastAsia="楷体_GB2312"/>
          <w:sz w:val="28"/>
          <w:szCs w:val="28"/>
        </w:rPr>
        <w:t>题　　目：</w:t>
      </w:r>
      <w:r>
        <w:rPr>
          <w:rFonts w:hint="eastAsia" w:ascii="楷体_GB2312" w:eastAsia="楷体_GB2312"/>
          <w:sz w:val="28"/>
          <w:szCs w:val="28"/>
          <w:u w:val="single"/>
        </w:rPr>
        <w:t>　　　　　　　　　　　　　　　　　　　　　</w:t>
      </w:r>
    </w:p>
    <w:p w14:paraId="2EE0B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560"/>
        <w:textAlignment w:val="auto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学　　院：</w:t>
      </w:r>
      <w:r>
        <w:rPr>
          <w:rFonts w:hint="eastAsia" w:ascii="楷体_GB2312" w:eastAsia="楷体_GB2312"/>
          <w:sz w:val="28"/>
          <w:szCs w:val="28"/>
          <w:u w:val="single"/>
        </w:rPr>
        <w:t>　　　　　　　　　　　　　　　　　　　　　</w:t>
      </w:r>
    </w:p>
    <w:p w14:paraId="7EE09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560"/>
        <w:textAlignment w:val="auto"/>
        <w:rPr>
          <w:rFonts w:ascii="楷体_GB2312" w:eastAsia="楷体_GB2312"/>
          <w:sz w:val="28"/>
          <w:szCs w:val="28"/>
          <w:u w:val="single"/>
        </w:rPr>
      </w:pPr>
      <w:r>
        <w:rPr>
          <w:rFonts w:hint="eastAsia" w:ascii="楷体_GB2312" w:eastAsia="楷体_GB2312"/>
          <w:sz w:val="28"/>
          <w:szCs w:val="28"/>
        </w:rPr>
        <w:t>专业班级：</w:t>
      </w:r>
      <w:r>
        <w:rPr>
          <w:rFonts w:hint="eastAsia" w:ascii="楷体_GB2312" w:eastAsia="楷体_GB2312"/>
          <w:sz w:val="28"/>
          <w:szCs w:val="28"/>
          <w:u w:val="single"/>
        </w:rPr>
        <w:t>　　　　　　　　　　　　　　　　　　　　　</w:t>
      </w:r>
    </w:p>
    <w:p w14:paraId="41EB4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560"/>
        <w:textAlignment w:val="auto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学　　号：</w:t>
      </w:r>
      <w:r>
        <w:rPr>
          <w:rFonts w:hint="eastAsia" w:ascii="楷体_GB2312" w:eastAsia="楷体_GB2312"/>
          <w:sz w:val="28"/>
          <w:szCs w:val="28"/>
          <w:u w:val="single"/>
        </w:rPr>
        <w:t>　　　　　　　　　　　　　　　　　　　　　</w:t>
      </w:r>
    </w:p>
    <w:p w14:paraId="7B073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560"/>
        <w:textAlignment w:val="auto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姓　　名：</w:t>
      </w:r>
      <w:r>
        <w:rPr>
          <w:rFonts w:hint="eastAsia" w:ascii="楷体_GB2312" w:eastAsia="楷体_GB2312"/>
          <w:sz w:val="28"/>
          <w:szCs w:val="28"/>
          <w:u w:val="single"/>
        </w:rPr>
        <w:t>　　　　　　　　　　　　　　　　　　　　　</w:t>
      </w:r>
    </w:p>
    <w:p w14:paraId="6F2CC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560"/>
        <w:textAlignment w:val="auto"/>
        <w:rPr>
          <w:rFonts w:ascii="楷体_GB2312" w:eastAsia="楷体_GB2312"/>
          <w:sz w:val="28"/>
          <w:szCs w:val="28"/>
          <w:u w:val="single"/>
        </w:rPr>
      </w:pPr>
      <w:r>
        <w:rPr>
          <w:rFonts w:hint="eastAsia" w:ascii="楷体_GB2312" w:eastAsia="楷体_GB2312"/>
          <w:sz w:val="28"/>
          <w:szCs w:val="28"/>
        </w:rPr>
        <w:t>完成日期：</w:t>
      </w:r>
      <w:r>
        <w:rPr>
          <w:rFonts w:hint="eastAsia" w:ascii="楷体_GB2312" w:eastAsia="楷体_GB2312"/>
          <w:sz w:val="28"/>
          <w:szCs w:val="28"/>
          <w:u w:val="single"/>
        </w:rPr>
        <w:t>　　　　　　　　　　　　　　　　　　　　　</w:t>
      </w:r>
    </w:p>
    <w:tbl>
      <w:tblPr>
        <w:tblStyle w:val="34"/>
        <w:tblW w:w="5052" w:type="pct"/>
        <w:tblInd w:w="-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6111"/>
        <w:gridCol w:w="865"/>
      </w:tblGrid>
      <w:tr w14:paraId="08F86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04" w:type="pct"/>
            <w:vAlign w:val="center"/>
          </w:tcPr>
          <w:p w14:paraId="260E03F0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b/>
                <w:bCs/>
                <w:color w:val="000000"/>
                <w:kern w:val="0"/>
                <w:sz w:val="18"/>
                <w:szCs w:val="18"/>
              </w:rPr>
              <w:t>评分维度</w:t>
            </w:r>
          </w:p>
        </w:tc>
        <w:tc>
          <w:tcPr>
            <w:tcW w:w="3412" w:type="pct"/>
            <w:vAlign w:val="center"/>
          </w:tcPr>
          <w:p w14:paraId="02B9C557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b/>
                <w:bCs/>
                <w:color w:val="000000"/>
                <w:kern w:val="0"/>
                <w:sz w:val="18"/>
                <w:szCs w:val="18"/>
              </w:rPr>
              <w:t>评分要点（子项及分值）</w:t>
            </w:r>
          </w:p>
        </w:tc>
        <w:tc>
          <w:tcPr>
            <w:tcW w:w="483" w:type="pct"/>
            <w:vAlign w:val="center"/>
          </w:tcPr>
          <w:p w14:paraId="2BD44218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b/>
                <w:bCs/>
                <w:color w:val="000000"/>
                <w:kern w:val="0"/>
                <w:sz w:val="18"/>
                <w:szCs w:val="18"/>
              </w:rPr>
              <w:t>得分</w:t>
            </w:r>
          </w:p>
        </w:tc>
      </w:tr>
      <w:tr w14:paraId="76200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104" w:type="pct"/>
            <w:vAlign w:val="center"/>
          </w:tcPr>
          <w:p w14:paraId="3BD444DC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1. 数据获取合规性与清洗质量（15分）</w:t>
            </w:r>
          </w:p>
        </w:tc>
        <w:tc>
          <w:tcPr>
            <w:tcW w:w="3412" w:type="pct"/>
            <w:vAlign w:val="center"/>
          </w:tcPr>
          <w:p w14:paraId="53DC49FA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来源合规、白名单方式、合规声明完整（5）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数据量达标、抽样方法与随机种子说明（4）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清洗完整、异常/缺失/重复处理、多表对齐（4）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可导出 CSV/JSON/SQLite 复用（2）</w:t>
            </w:r>
          </w:p>
        </w:tc>
        <w:tc>
          <w:tcPr>
            <w:tcW w:w="483" w:type="pct"/>
            <w:vAlign w:val="center"/>
          </w:tcPr>
          <w:p w14:paraId="331CE23D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538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104" w:type="pct"/>
            <w:vAlign w:val="center"/>
          </w:tcPr>
          <w:p w14:paraId="45D2E5DD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2. 商业分析模型应用深度（20分）</w:t>
            </w:r>
          </w:p>
        </w:tc>
        <w:tc>
          <w:tcPr>
            <w:tcW w:w="3412" w:type="pct"/>
            <w:vAlign w:val="center"/>
          </w:tcPr>
          <w:p w14:paraId="46C938B6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模型≥3种、选型与场景匹配（6）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计算正确、参数与阈值有业务依据（6）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预测类含置信区间与回测误差（4）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结论与模型一一对应（4）</w:t>
            </w:r>
          </w:p>
        </w:tc>
        <w:tc>
          <w:tcPr>
            <w:tcW w:w="483" w:type="pct"/>
            <w:vAlign w:val="center"/>
          </w:tcPr>
          <w:p w14:paraId="30916766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561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04" w:type="pct"/>
            <w:vAlign w:val="center"/>
          </w:tcPr>
          <w:p w14:paraId="739D3366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3. 可视化复现与大屏质量（25分）</w:t>
            </w:r>
          </w:p>
        </w:tc>
        <w:tc>
          <w:tcPr>
            <w:tcW w:w="3412" w:type="pct"/>
            <w:vAlign w:val="center"/>
          </w:tcPr>
          <w:p w14:paraId="70C9BE92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图表≥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color w:val="000000"/>
                <w:kern w:val="0"/>
                <w:sz w:val="18"/>
                <w:szCs w:val="18"/>
              </w:rPr>
              <w:t>张、类别覆盖全面（6）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模板复现≥10种、风格细节贴近原作（7）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业务模型图≥6张、与模型对应（6）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交互大屏≥1个、组件≥6、有联动/下钻（6）</w:t>
            </w:r>
          </w:p>
        </w:tc>
        <w:tc>
          <w:tcPr>
            <w:tcW w:w="483" w:type="pct"/>
            <w:vAlign w:val="center"/>
          </w:tcPr>
          <w:p w14:paraId="06A0E440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AEDF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04" w:type="pct"/>
            <w:vAlign w:val="center"/>
          </w:tcPr>
          <w:p w14:paraId="572736CC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4. 代码规范性与文档完整性（10分）</w:t>
            </w:r>
          </w:p>
        </w:tc>
        <w:tc>
          <w:tcPr>
            <w:tcW w:w="3412" w:type="pct"/>
            <w:vAlign w:val="center"/>
          </w:tcPr>
          <w:p w14:paraId="166E1198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目录结构清晰、注释充分（3）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README 详实、依赖明确（3）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可一键复现（2）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图表命名与索引规范（2）</w:t>
            </w:r>
          </w:p>
        </w:tc>
        <w:tc>
          <w:tcPr>
            <w:tcW w:w="483" w:type="pct"/>
            <w:vAlign w:val="center"/>
          </w:tcPr>
          <w:p w14:paraId="17A5B3C3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E2B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04" w:type="pct"/>
            <w:vAlign w:val="center"/>
          </w:tcPr>
          <w:p w14:paraId="25CA3A08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5. 期末大论文质量（25分）</w:t>
            </w:r>
          </w:p>
        </w:tc>
        <w:tc>
          <w:tcPr>
            <w:tcW w:w="3412" w:type="pct"/>
            <w:vAlign w:val="center"/>
          </w:tcPr>
          <w:p w14:paraId="5A2102B9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题目创新性与针对性（4）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摘要概括性、关键词相关性（4）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正文逻辑性与技术深度（10）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商业建议可行性与数据支撑（7）</w:t>
            </w:r>
          </w:p>
        </w:tc>
        <w:tc>
          <w:tcPr>
            <w:tcW w:w="483" w:type="pct"/>
            <w:vAlign w:val="center"/>
          </w:tcPr>
          <w:p w14:paraId="3F72476D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3EF7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04" w:type="pct"/>
            <w:vAlign w:val="center"/>
          </w:tcPr>
          <w:p w14:paraId="72C7E17E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6. 创新性与商业洞察深度（5分）</w:t>
            </w:r>
          </w:p>
        </w:tc>
        <w:tc>
          <w:tcPr>
            <w:tcW w:w="3412" w:type="pct"/>
            <w:vAlign w:val="center"/>
          </w:tcPr>
          <w:p w14:paraId="79229DA0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引入新工具/新方法（2）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提出有效商业建议（2）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>
              <w:rPr>
                <w:color w:val="000000"/>
                <w:kern w:val="0"/>
                <w:sz w:val="18"/>
                <w:szCs w:val="18"/>
              </w:rPr>
              <w:t xml:space="preserve"> 体现批判性思维（1）</w:t>
            </w:r>
          </w:p>
        </w:tc>
        <w:tc>
          <w:tcPr>
            <w:tcW w:w="483" w:type="pct"/>
            <w:vAlign w:val="center"/>
          </w:tcPr>
          <w:p w14:paraId="4005F0E5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8D34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4" w:type="pct"/>
            <w:vAlign w:val="center"/>
          </w:tcPr>
          <w:p w14:paraId="33074C98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总</w:t>
            </w:r>
            <w:r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分</w:t>
            </w:r>
          </w:p>
        </w:tc>
        <w:tc>
          <w:tcPr>
            <w:tcW w:w="3412" w:type="pct"/>
            <w:vAlign w:val="center"/>
          </w:tcPr>
          <w:p w14:paraId="3A124440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（各维度得分相加）</w:t>
            </w:r>
          </w:p>
        </w:tc>
        <w:tc>
          <w:tcPr>
            <w:tcW w:w="483" w:type="pct"/>
            <w:vAlign w:val="center"/>
          </w:tcPr>
          <w:p w14:paraId="69D12DB4">
            <w:pPr>
              <w:autoSpaceDE w:val="0"/>
              <w:autoSpaceDN w:val="0"/>
              <w:adjustRightInd w:val="0"/>
              <w:spacing w:line="240" w:lineRule="auto"/>
              <w:ind w:firstLine="0" w:firstLineChars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</w:tbl>
    <w:p w14:paraId="66F1A1F3">
      <w:pPr>
        <w:ind w:firstLine="3080" w:firstLineChars="1100"/>
        <w:jc w:val="both"/>
        <w:rPr>
          <w:rFonts w:eastAsia="黑体"/>
          <w:sz w:val="32"/>
        </w:rPr>
      </w:pPr>
      <w:r>
        <w:rPr>
          <w:rFonts w:hint="eastAsia"/>
          <w:sz w:val="28"/>
          <w:szCs w:val="28"/>
        </w:rPr>
        <w:t>数 据 科 学 学 院</w:t>
      </w:r>
    </w:p>
    <w:p w14:paraId="5EDEDD4A">
      <w:pPr>
        <w:ind w:firstLine="0" w:firstLineChars="0"/>
        <w:jc w:val="center"/>
        <w:rPr>
          <w:rFonts w:eastAsia="黑体"/>
          <w:sz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8" w:right="1418" w:bottom="1418" w:left="1559" w:header="851" w:footer="851" w:gutter="284"/>
          <w:pgNumType w:start="1"/>
          <w:cols w:space="720" w:num="1"/>
          <w:titlePg/>
          <w:docGrid w:type="lines" w:linePitch="312" w:charSpace="0"/>
        </w:sectPr>
      </w:pPr>
    </w:p>
    <w:p w14:paraId="0935058E">
      <w:pPr>
        <w:spacing w:line="360" w:lineRule="auto"/>
        <w:jc w:val="center"/>
        <w:rPr>
          <w:rFonts w:ascii="黑体" w:hAnsi="黑体" w:eastAsia="黑体"/>
          <w:b/>
          <w:sz w:val="32"/>
        </w:rPr>
      </w:pPr>
      <w:bookmarkStart w:id="35" w:name="_GoBack"/>
      <w:bookmarkEnd w:id="35"/>
      <w:r>
        <w:rPr>
          <w:rFonts w:ascii="黑体" w:hAnsi="黑体" w:eastAsia="黑体"/>
          <w:b/>
          <w:sz w:val="32"/>
        </w:rPr>
        <w:t>Olist电商用户价值与留存可视化分析</w:t>
      </w:r>
    </w:p>
    <w:p w14:paraId="2D188DEA">
      <w:pPr>
        <w:spacing w:line="360" w:lineRule="auto"/>
        <w:jc w:val="center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作者：大数据241陈丹</w:t>
      </w:r>
    </w:p>
    <w:p w14:paraId="700A3B4E">
      <w:pPr>
        <w:spacing w:line="360" w:lineRule="auto"/>
        <w:jc w:val="center"/>
        <w:rPr>
          <w:sz w:val="21"/>
          <w:szCs w:val="21"/>
        </w:rPr>
      </w:pPr>
      <w:r>
        <w:rPr>
          <w:rFonts w:ascii="宋体" w:hAnsi="宋体" w:eastAsia="宋体"/>
          <w:b w:val="0"/>
          <w:sz w:val="21"/>
          <w:szCs w:val="21"/>
        </w:rPr>
        <w:t>（嘉兴大学 数据科学学院）</w:t>
      </w:r>
    </w:p>
    <w:p w14:paraId="1D739B1E">
      <w:pPr>
        <w:spacing w:line="360" w:lineRule="auto"/>
      </w:pPr>
      <w:r>
        <w:rPr>
          <w:rFonts w:ascii="黑体" w:hAnsi="黑体" w:eastAsia="黑体"/>
          <w:b/>
          <w:sz w:val="28"/>
        </w:rPr>
        <w:t>摘要：</w:t>
      </w:r>
      <w:r>
        <w:rPr>
          <w:rFonts w:ascii="宋体" w:hAnsi="宋体" w:eastAsia="宋体"/>
          <w:b w:val="0"/>
          <w:sz w:val="24"/>
        </w:rPr>
        <w:t>本文以 Kaggle 公开发布的 Olist 巴西电商数据集为对象，使用 Python 技术栈完成数据获取、清洗治理、模型分析与可视化大屏的端到端商业数据分析流程。数据涵盖 99441 笔订单与 9 张关联表，经清洗与多表关联构建 26 列宽表。应用 RFM、同期群留存、帕累托/ABC、环比同比与移动平均、SARIMA 预测五种模型，发现重要价值客户 1336 人贡献 3.0% 销售额，A 类 12 个品类贡献 69.0% 符合 20/80 法则，同期群第 3 月留存率仅 0.3%，SARIMA 回测 MAPE=6.95%。复现 12 种可视化模板与 7 张业务模型图，搭建 Streamlit 交互大屏，并提出高价值客户运营、品类备货强化、复购激励等商业建议。</w:t>
      </w:r>
    </w:p>
    <w:p w14:paraId="2ED48D53">
      <w:pPr>
        <w:spacing w:line="360" w:lineRule="auto"/>
        <w:rPr>
          <w:sz w:val="24"/>
          <w:szCs w:val="24"/>
        </w:rPr>
      </w:pPr>
      <w:r>
        <w:rPr>
          <w:rFonts w:ascii="黑体" w:hAnsi="黑体" w:eastAsia="黑体"/>
          <w:b/>
          <w:sz w:val="28"/>
        </w:rPr>
        <w:t>关键词：</w:t>
      </w:r>
      <w:r>
        <w:rPr>
          <w:rFonts w:ascii="宋体" w:hAnsi="宋体" w:eastAsia="宋体"/>
          <w:b w:val="0"/>
          <w:sz w:val="24"/>
          <w:szCs w:val="24"/>
        </w:rPr>
        <w:t>商业数据分析</w:t>
      </w:r>
      <w:r>
        <w:rPr>
          <w:rFonts w:hint="eastAsia" w:ascii="宋体" w:hAnsi="宋体" w:eastAsia="宋体"/>
          <w:b w:val="0"/>
          <w:sz w:val="24"/>
          <w:szCs w:val="24"/>
          <w:lang w:eastAsia="zh-CN"/>
        </w:rPr>
        <w:t>；</w:t>
      </w:r>
      <w:r>
        <w:rPr>
          <w:rFonts w:ascii="宋体" w:hAnsi="宋体" w:eastAsia="宋体"/>
          <w:b w:val="0"/>
          <w:sz w:val="24"/>
          <w:szCs w:val="24"/>
        </w:rPr>
        <w:t>RFM模型</w:t>
      </w:r>
      <w:r>
        <w:rPr>
          <w:rFonts w:hint="eastAsia" w:ascii="宋体" w:hAnsi="宋体" w:eastAsia="宋体"/>
          <w:b w:val="0"/>
          <w:sz w:val="24"/>
          <w:szCs w:val="24"/>
          <w:lang w:eastAsia="zh-CN"/>
        </w:rPr>
        <w:t>；</w:t>
      </w:r>
      <w:r>
        <w:rPr>
          <w:rFonts w:ascii="宋体" w:hAnsi="宋体" w:eastAsia="宋体"/>
          <w:b w:val="0"/>
          <w:sz w:val="24"/>
          <w:szCs w:val="24"/>
        </w:rPr>
        <w:t>同期群留存</w:t>
      </w:r>
      <w:r>
        <w:rPr>
          <w:rFonts w:hint="eastAsia" w:ascii="宋体" w:hAnsi="宋体" w:eastAsia="宋体"/>
          <w:b w:val="0"/>
          <w:sz w:val="24"/>
          <w:szCs w:val="24"/>
          <w:lang w:eastAsia="zh-CN"/>
        </w:rPr>
        <w:t>；</w:t>
      </w:r>
      <w:r>
        <w:rPr>
          <w:rFonts w:ascii="宋体" w:hAnsi="宋体" w:eastAsia="宋体"/>
          <w:b w:val="0"/>
          <w:sz w:val="24"/>
          <w:szCs w:val="24"/>
        </w:rPr>
        <w:t>帕累托分析</w:t>
      </w:r>
      <w:r>
        <w:rPr>
          <w:rFonts w:hint="eastAsia" w:ascii="宋体" w:hAnsi="宋体" w:eastAsia="宋体"/>
          <w:b w:val="0"/>
          <w:sz w:val="24"/>
          <w:szCs w:val="24"/>
          <w:lang w:eastAsia="zh-CN"/>
        </w:rPr>
        <w:t>；</w:t>
      </w:r>
      <w:r>
        <w:rPr>
          <w:rFonts w:ascii="宋体" w:hAnsi="宋体" w:eastAsia="宋体"/>
          <w:b w:val="0"/>
          <w:sz w:val="24"/>
          <w:szCs w:val="24"/>
        </w:rPr>
        <w:t>交互式大屏</w:t>
      </w:r>
    </w:p>
    <w:p w14:paraId="6F1CBB79">
      <w:pPr>
        <w:pStyle w:val="3"/>
        <w:spacing w:before="240" w:line="360" w:lineRule="auto"/>
      </w:pPr>
      <w:bookmarkStart w:id="0" w:name="_Toc31041"/>
      <w:r>
        <w:rPr>
          <w:rFonts w:ascii="黑体" w:hAnsi="黑体" w:eastAsia="黑体"/>
          <w:b/>
          <w:sz w:val="28"/>
        </w:rPr>
        <w:t>1 引言</w:t>
      </w:r>
      <w:bookmarkEnd w:id="0"/>
    </w:p>
    <w:p w14:paraId="343F7D45">
      <w:pPr>
        <w:pStyle w:val="4"/>
        <w:spacing w:line="360" w:lineRule="auto"/>
      </w:pPr>
      <w:bookmarkStart w:id="1" w:name="_Toc26818"/>
      <w:r>
        <w:rPr>
          <w:rFonts w:ascii="黑体" w:hAnsi="黑体" w:eastAsia="黑体"/>
          <w:b/>
          <w:sz w:val="24"/>
        </w:rPr>
        <w:t>1.1 研究背景</w:t>
      </w:r>
      <w:bookmarkEnd w:id="1"/>
    </w:p>
    <w:p w14:paraId="2C43CB9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近年来，全球电子商务保持高速增长，巴西作为拉美最大电商市场，2023 年线上零售额突破 1600 亿雷亚尔，年增长率约 14%。Olist 是巴西代表性的多卖家电商平台，采用聚合模式连接中小卖家与消费者，平台本身不持有库存，而是通过统一的订单、支付与物流接口为卖家赋能。这种模式下，平台积累了横跨订单、客户、产品、支付、评价、地理等多维度的海量数据，为数据驱动的精细化运营提供了基础。</w:t>
      </w:r>
    </w:p>
    <w:p w14:paraId="3F59AC6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然而，数据丰富并不等于洞察自动产生。电商平台普遍面临三类运营难题：其一，客户结构模糊，难以识别高价值客户与流失风险客户；其二，品类众多但备货分散，缺乏对核心品类的量化识别；其三，销售波动难以预测，库存与营销计划缺乏前瞻依据。解决这些问题需要将原始数据通过清洗、建模与可视化转化为可行动的商业洞察。与此同时，《Excel数据可视化——从图表到数据大屏》一书系统梳理了 30 种典型可视化模板，但 Excel 在处理十万级多表关联与交互式大屏时存在性能与灵活性局限，亟需以 Python 技术栈完成复现与增强。</w:t>
      </w:r>
    </w:p>
    <w:p w14:paraId="48BD2F03">
      <w:pPr>
        <w:pStyle w:val="4"/>
        <w:spacing w:line="360" w:lineRule="auto"/>
      </w:pPr>
      <w:bookmarkStart w:id="2" w:name="_Toc11701"/>
      <w:r>
        <w:rPr>
          <w:rFonts w:ascii="黑体" w:hAnsi="黑体" w:eastAsia="黑体"/>
          <w:b/>
          <w:sz w:val="24"/>
        </w:rPr>
        <w:t>1.2 研究目的</w:t>
      </w:r>
      <w:bookmarkEnd w:id="2"/>
    </w:p>
    <w:p w14:paraId="3451F03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本研究以 Olist 数据集为载体，综合运用 Python 数据合规获取、清洗治理、商业分析模型与可视化大屏搭建能力，完成端到端商业数据分析流程，并提炼可落地的商业运营建议。具体目标包括：（1）通过白名单方式合规获取多表数据并完成清洗治理与宽表构建；（2）应用 RFM、同期群、帕累托/ABC、趋势分析、SARIMA 预测五种模型刻画客户、品类与销售结构；（3）对照《Excel数据可视化》复现 12 种模板并生成 7 张业务模型图；（4）搭建 Streamlit 交互式大屏实现联动分析；（5）基于分析结果提出 3–5 条可落地商业建议。</w:t>
      </w:r>
    </w:p>
    <w:p w14:paraId="2DBE4121">
      <w:pPr>
        <w:pStyle w:val="4"/>
        <w:spacing w:line="360" w:lineRule="auto"/>
      </w:pPr>
      <w:bookmarkStart w:id="3" w:name="_Toc29864"/>
      <w:r>
        <w:rPr>
          <w:rFonts w:ascii="黑体" w:hAnsi="黑体" w:eastAsia="黑体"/>
          <w:b/>
          <w:sz w:val="24"/>
        </w:rPr>
        <w:t>1.3 研究意义</w:t>
      </w:r>
      <w:bookmarkEnd w:id="3"/>
    </w:p>
    <w:p w14:paraId="58795C0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研究意义体现在三个层面。方法论上，验证 Python 技术栈（Pandas/Matplotlib/Seaborn/Streamlit）在多表关联、商业建模与交互大屏场景下对 Excel 可视化模板的复现与增强能力，为同类分析提供可复现的工程范式。实践上，为电商平台的客户分层运营、品类备货决策、复购激励设计与销售预测提供量化数据支撑，直接服务于精细化运营。教学上，形成结构清晰、可一键复现的开源项目，覆盖数据获取到商业建议的完整链路，供后续学习与扩展参考。</w:t>
      </w:r>
    </w:p>
    <w:p w14:paraId="6EB64ACC">
      <w:pPr>
        <w:pStyle w:val="3"/>
        <w:spacing w:before="240" w:line="360" w:lineRule="auto"/>
      </w:pPr>
      <w:bookmarkStart w:id="4" w:name="_Toc11737"/>
      <w:r>
        <w:rPr>
          <w:rFonts w:ascii="黑体" w:hAnsi="黑体" w:eastAsia="黑体"/>
          <w:b/>
          <w:sz w:val="28"/>
        </w:rPr>
        <w:t>2 数据准备与预处理</w:t>
      </w:r>
      <w:bookmarkEnd w:id="4"/>
    </w:p>
    <w:p w14:paraId="7AA16376">
      <w:pPr>
        <w:pStyle w:val="4"/>
        <w:spacing w:line="360" w:lineRule="auto"/>
      </w:pPr>
      <w:bookmarkStart w:id="5" w:name="_Toc10717"/>
      <w:r>
        <w:rPr>
          <w:rFonts w:ascii="黑体" w:hAnsi="黑体" w:eastAsia="黑体"/>
          <w:b/>
          <w:sz w:val="24"/>
        </w:rPr>
        <w:t>2.1 数据源介绍</w:t>
      </w:r>
      <w:bookmarkEnd w:id="5"/>
    </w:p>
    <w:p w14:paraId="747D73D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数据源为 Kaggle 公开发布的 Olist Brazilian E-Commerce Public Dataset，URL 为 https://www.kaggle.com/datasets/olistbr/brazilian-ecommerce。该数据集由 Olist 官方提供，包含 9 张 CSV 表，记录 2016 年 10 月至 2018 年 8 月间巴西多地区的真实电商交易。本项目使用 99,441 笔订单、94,395 位唯一客户、32,945 个产品与 3,095 个卖家，订单明细 112,647 条。各表字段说明如下：订单表含订单状态与五个时间节点；客户表区分customer_id（订单级标识）与 customer_unique_id（跨订单唯一身份）；订单明细表记录每件商品的价格与运费；支付表记录支付方式与分期数；评价表含 1–5 分评分与评论文本；产品表含品类与物理属性；卖家表含卖家地理信息；地理表提供邮编级经纬度；品类翻译表提供葡语至英语映射。</w:t>
      </w:r>
    </w:p>
    <w:p w14:paraId="3DA5012E">
      <w:pPr>
        <w:pStyle w:val="4"/>
        <w:spacing w:line="360" w:lineRule="auto"/>
      </w:pPr>
      <w:bookmarkStart w:id="6" w:name="_Toc2558"/>
      <w:r>
        <w:rPr>
          <w:rFonts w:ascii="黑体" w:hAnsi="黑体" w:eastAsia="黑体"/>
          <w:b/>
          <w:sz w:val="24"/>
        </w:rPr>
        <w:t>2.2 合规获取方式</w:t>
      </w:r>
      <w:bookmarkEnd w:id="6"/>
    </w:p>
    <w:p w14:paraId="3FCA826E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数据获取严格遵循白名单方式，不使用任何爬虫技术。脚本 scripts/01_load.py 实现两种获取路径：其一为 Kaggle 官方 CLI 下载（kaggle datasets download -d olistbr/brazilian-ecommerce），需在 ~/.kaggle/kaggle.json 配置 API 凭证；其二为 Faker 按 Olist 官方 Schema 生成结构一致、分布贴近真实的合成数据作为回退。本项目通过 Kaggle 官方页面下载真实数据集，解压后获得 9 张 CSV 表，直接放入 data/raw/ 目录供后续清洗与分析使用。该数据集为 Olist 官方公开发布的真实商业交易数据，已匿名化处理，授权为 CC BY-NC-SA 4.0，允许非商业性分析与教学使用。获取过程未使用任何爬虫技术，仅通过 Kaggle 官方下载按钮获取压缩包并解压。</w:t>
      </w:r>
    </w:p>
    <w:p w14:paraId="00248F42">
      <w:pPr>
        <w:pStyle w:val="4"/>
        <w:spacing w:line="360" w:lineRule="auto"/>
      </w:pPr>
      <w:bookmarkStart w:id="7" w:name="_Toc19520"/>
      <w:r>
        <w:rPr>
          <w:rFonts w:ascii="黑体" w:hAnsi="黑体" w:eastAsia="黑体"/>
          <w:b/>
          <w:sz w:val="24"/>
        </w:rPr>
        <w:t>2.3 数据来源合规声明</w:t>
      </w:r>
      <w:bookmarkEnd w:id="7"/>
    </w:p>
    <w:p w14:paraId="64828BE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数据源名称：Olist Brazilian E-Commerce Public Dataset by Olist；URL：https://www.kaggle.com/datasets/olistbr/brazilian-ecommerce；获取方式：Kaggle 官方页面下载；获取日期：2026-10-19；授权：CC BY-NC-SA 4.0（署名-非商业性使用-相同方式共享）。本项目不涉及任何网页抓取行为，未使用 Scrapy、Selenium、requests+网页解析、模拟登录等爬虫技术。数据为 Olist 官方公开发布的真实商业交易记录，已匿名化处理。</w:t>
      </w:r>
    </w:p>
    <w:p w14:paraId="402BC588">
      <w:pPr>
        <w:pStyle w:val="4"/>
        <w:spacing w:line="360" w:lineRule="auto"/>
      </w:pPr>
      <w:bookmarkStart w:id="8" w:name="_Toc32761"/>
      <w:r>
        <w:rPr>
          <w:rFonts w:ascii="黑体" w:hAnsi="黑体" w:eastAsia="黑体"/>
          <w:b/>
          <w:sz w:val="24"/>
        </w:rPr>
        <w:t>2.4 数据集概述</w:t>
      </w:r>
      <w:bookmarkEnd w:id="8"/>
    </w:p>
    <w:p w14:paraId="3DE630E5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9 张表通过 order_id、customer_id、product_id、seller_id、customer_zip_code_prefix 等主外键关联，形成以订单为中心的星型结构。客户表区分 customer_id（每笔订单唯一）与 customer_unique_id（同一自然人的跨订单唯一标识），是 RFM 与同期群分析的关键关联键。订单明细表记录每件商品的价格与运费，按 order_id 聚合后得到订单级金额。支付表一笔订单可能包含多笔支付记录（payment_sequential），取首笔作为主支付方式。评价表一笔订单一条评价。产品表通过 product_category_name 关联品类翻译表，实现葡语至英语品类名映射。</w:t>
      </w:r>
    </w:p>
    <w:p w14:paraId="05C2803B">
      <w:pPr>
        <w:jc w:val="center"/>
      </w:pPr>
      <w:r>
        <w:drawing>
          <wp:inline distT="0" distB="0" distL="114300" distR="114300">
            <wp:extent cx="5029200" cy="1976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A4D1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 月度订单数分布</w:t>
      </w:r>
    </w:p>
    <w:p w14:paraId="3654663E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 显示月度订单数呈明显上升趋势，2017 年下半年起增速加快，2017 年 11 月出现峰值，可能与巴西黑色星期五促销有关；2016 年末与 2018 年 8 月数据量较少，系数据集采集边界所致。</w:t>
      </w:r>
    </w:p>
    <w:p w14:paraId="1445CAAD">
      <w:pPr>
        <w:pStyle w:val="3"/>
        <w:spacing w:before="240" w:line="360" w:lineRule="auto"/>
      </w:pPr>
      <w:bookmarkStart w:id="9" w:name="_Toc19971"/>
      <w:r>
        <w:rPr>
          <w:rFonts w:ascii="黑体" w:hAnsi="黑体" w:eastAsia="黑体"/>
          <w:b/>
          <w:sz w:val="28"/>
        </w:rPr>
        <w:t>3 数据清洗与治理</w:t>
      </w:r>
      <w:bookmarkEnd w:id="9"/>
    </w:p>
    <w:p w14:paraId="3CE2D4D2">
      <w:pPr>
        <w:pStyle w:val="4"/>
        <w:spacing w:line="360" w:lineRule="auto"/>
      </w:pPr>
      <w:bookmarkStart w:id="10" w:name="_Toc24119"/>
      <w:r>
        <w:rPr>
          <w:rFonts w:ascii="黑体" w:hAnsi="黑体" w:eastAsia="黑体"/>
          <w:b/>
          <w:sz w:val="24"/>
        </w:rPr>
        <w:t>3.1 数据清洗</w:t>
      </w:r>
      <w:bookmarkEnd w:id="10"/>
    </w:p>
    <w:p w14:paraId="1C061E7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清洗流程遵循先去重、再纠错、后补缺的原则，具体包括四类处理。缺失值处理：canceled 订单的交付时间（order_delivered_carrier_date、order_delivered_customer_date）保留 NaT 以反映业务真实状态，评价空标题与空评论置空字符串。异常值识别：剔除价格≤0 或 &gt;5000 BRL 的明细记录（视为录入错误或异常大额），剔除运费&lt;0、评价分不在 1~5 区间、产品重量≤0 的记录。重复值去除：分别按 order_id、review_id、product_id、customer_id 去重，确保主键唯一。时间逻辑校验：剔除批准时间早于购买时间、交付时间早于批准时间等逻辑矛盾记录。经清洗，99,441 笔订单全部保留，订单明细 112,647 条通过校验（剔除 3 条价格异常），数据质量良好。</w:t>
      </w:r>
    </w:p>
    <w:p w14:paraId="235F480E">
      <w:pPr>
        <w:pStyle w:val="4"/>
        <w:spacing w:line="360" w:lineRule="auto"/>
      </w:pPr>
      <w:bookmarkStart w:id="11" w:name="_Toc23765"/>
      <w:r>
        <w:rPr>
          <w:rFonts w:ascii="黑体" w:hAnsi="黑体" w:eastAsia="黑体"/>
          <w:b/>
          <w:sz w:val="24"/>
        </w:rPr>
        <w:t>3.2 数据转换</w:t>
      </w:r>
      <w:bookmarkEnd w:id="11"/>
    </w:p>
    <w:p w14:paraId="66987E6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将所有时间字段统一为 datetime 类型，保证后续时间运算与聚合的正确性。派生时间维度字段：order_purchase_month（月份）、order_purchase_year（年份）、order_purchase_dow（星期）、order_purchase_hour（小时），用于时段分析与趋势聚合。派生业务指标字段：order_value（订单金额，由明细 price 聚合）、freight_total（运费合计）、total_value（含运费总额）、delivery_days（交付天数，由交付时间减购买时间）、is_late（是否迟于估计送达日，布尔值）。这些派生字段是后续模型计算与可视化的直接输入。</w:t>
      </w:r>
    </w:p>
    <w:p w14:paraId="293A7454">
      <w:pPr>
        <w:pStyle w:val="4"/>
        <w:spacing w:line="360" w:lineRule="auto"/>
      </w:pPr>
      <w:bookmarkStart w:id="12" w:name="_Toc14521"/>
      <w:r>
        <w:rPr>
          <w:rFonts w:ascii="黑体" w:hAnsi="黑体" w:eastAsia="黑体"/>
          <w:b/>
          <w:sz w:val="24"/>
        </w:rPr>
        <w:t>3.3 数据整合</w:t>
      </w:r>
      <w:bookmarkEnd w:id="12"/>
    </w:p>
    <w:p w14:paraId="5DDDF41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以订单表为主表，依次左连接客户表（获取客户唯一身份与地理信息）、订单金额聚合表（获取每单总金额与运费）、主品类表（取该单金额最大明细对应的品类）、首笔支付表（获取支付方式与分期数）、评价表（获取评分），构建 26 列宽表 order_full。该宽表是后续所有模型与可视化的统一数据基础，避免了反复多表关联的开销。经清洗与整合后，保留 99,441 笔订单，其中已交付 96,478 笔（占 97.0%），迟到 7,827 笔（占已交付的 8.1%），数据完整性达标。</w:t>
      </w:r>
    </w:p>
    <w:p w14:paraId="2F2725C4">
      <w:pPr>
        <w:jc w:val="center"/>
      </w:pPr>
      <w:r>
        <w:drawing>
          <wp:inline distT="0" distB="0" distL="114300" distR="114300">
            <wp:extent cx="5029200" cy="1802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B465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2 购买时段热力图（星期×小时）</w:t>
      </w:r>
    </w:p>
    <w:p w14:paraId="5A14682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2 显示购买行为集中在工作日 10–22 时，周一至周五午间（12–14 时）与晚间（19–21 时）为双高峰，周末购买量略低于工作日，凌晨 2–6 时为低谷。该规律可指导促销推送时间与客服排班。</w:t>
      </w:r>
    </w:p>
    <w:p w14:paraId="1C0D483D">
      <w:pPr>
        <w:pStyle w:val="3"/>
        <w:spacing w:before="240" w:line="360" w:lineRule="auto"/>
      </w:pPr>
      <w:bookmarkStart w:id="13" w:name="_Toc11645"/>
      <w:r>
        <w:rPr>
          <w:rFonts w:ascii="黑体" w:hAnsi="黑体" w:eastAsia="黑体"/>
          <w:b/>
          <w:sz w:val="28"/>
        </w:rPr>
        <w:t>4 商业分析模型</w:t>
      </w:r>
      <w:bookmarkEnd w:id="13"/>
    </w:p>
    <w:p w14:paraId="59E45D1A">
      <w:pPr>
        <w:pStyle w:val="4"/>
        <w:spacing w:line="360" w:lineRule="auto"/>
      </w:pPr>
      <w:bookmarkStart w:id="14" w:name="_Toc18132"/>
      <w:r>
        <w:rPr>
          <w:rFonts w:ascii="黑体" w:hAnsi="黑体" w:eastAsia="黑体"/>
          <w:b/>
          <w:sz w:val="24"/>
        </w:rPr>
        <w:t>4.1 模型选型</w:t>
      </w:r>
      <w:bookmarkEnd w:id="14"/>
    </w:p>
    <w:p w14:paraId="6882F2A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结合电商场景与数据特征，选择五种模型，覆盖要求清单中的四大类别。RFM 用户价值八分类（用户与客群类）：以最近购买距今天数 R、购买频次 F、累计金额 M 三维刻画客户价值，适用于客户分层与差异化运营。同期群留存分析（用户与客群类）：按首次购买月分群，追踪各群后续留存率，适用于衡量复购健康度与营销长效效果。帕累托/ABC 分类（结构与价值类）：按品类销售额降序计算累计占比，识别核心品类，适用于备货与资源分配。环比/同比与移动平均（趋势与对比类）：按月聚合销售额，计算环比、年同比与 3 月移动平均，适用于刻画趋势与平滑波动。SARIMA 时间序列预测（预测与预警类）：对月度销售额建模并预测未来 6 月，输出点预测与 95% 置信区间，适用于库存与营销计划的前瞻依据。</w:t>
      </w:r>
    </w:p>
    <w:p w14:paraId="4D193525">
      <w:pPr>
        <w:pStyle w:val="4"/>
        <w:spacing w:line="360" w:lineRule="auto"/>
      </w:pPr>
      <w:bookmarkStart w:id="15" w:name="_Toc8474"/>
      <w:r>
        <w:rPr>
          <w:rFonts w:ascii="黑体" w:hAnsi="黑体" w:eastAsia="黑体"/>
          <w:b/>
          <w:sz w:val="24"/>
        </w:rPr>
        <w:t>4.2 参数与阈值设定依据</w:t>
      </w:r>
      <w:bookmarkEnd w:id="15"/>
    </w:p>
    <w:p w14:paraId="333CCA8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各模型参数设定均给出业务依据。RFM 的 R/F/M 高低切分均采用中位数：R 中位数为最近购买距今天数的中位数，F 为购买频次中位数，M 为累计金额中位数。选择中位数而非均值的业务依据是电商客户分布呈强右偏（少数高频高额客户拉高均值），中位数对偏态分布稳健，能更均衡地将客户划分为高低两组，避免均值被极端值拉高导致高价值客户识别过严。帕累托/ABC 分类采用累计占比 70%/90% 切分，对应经典 20/80 法则，A 类为贡献前 70% 销售额的核心品类。移动平均窗口取 3 个月，兼顾平滑性与时效性——过短无法平滑噪声，过长滞后于趋势变化。SARIMA 定阶采用 (1,1,1)(1,0,1,12)：一阶差分消除趋势，季节周期 12 对应年度循环，并按候选阶数逐一尝试，取首个收敛模型。</w:t>
      </w:r>
    </w:p>
    <w:p w14:paraId="24AEF69D">
      <w:pPr>
        <w:pStyle w:val="4"/>
        <w:spacing w:line="360" w:lineRule="auto"/>
      </w:pPr>
      <w:bookmarkStart w:id="16" w:name="_Toc14293"/>
      <w:r>
        <w:rPr>
          <w:rFonts w:ascii="黑体" w:hAnsi="黑体" w:eastAsia="黑体"/>
          <w:b/>
          <w:sz w:val="24"/>
        </w:rPr>
        <w:t>4.3 模型计算与验证</w:t>
      </w:r>
      <w:bookmarkEnd w:id="16"/>
    </w:p>
    <w:p w14:paraId="1058731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RFM 模型：以快照日期（最大购买日加一天）为基准，计算 94395 位客户的 R/F/M 三维值，按中位数切分高低并映射为八类。重要价值客户（R 高 F 高 M 高）1336 人，贡献 3.0% 销售额，是优先运营对象；一般挽留客户（R 低 F 低 M 低）为流失风险群体，需召回激励。</w:t>
      </w:r>
    </w:p>
    <w:p w14:paraId="52BFE110">
      <w:pPr>
        <w:jc w:val="center"/>
      </w:pPr>
      <w:r>
        <w:drawing>
          <wp:inline distT="0" distB="0" distL="114300" distR="114300">
            <wp:extent cx="4531995" cy="300609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90FA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3 RFM 八分类气泡散点图</w:t>
      </w:r>
    </w:p>
    <w:p w14:paraId="2A85199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3 以 R（最近购买距今天数）为横轴、F（购买频次）为纵轴，气泡大小表示 M（累计金额），颜色区分八类客户。重要价值客户集中于左上角（R 小 F 高），气泡较大；一般客户散布于右侧，气泡较小，直观呈现客户价值分层结构。</w:t>
      </w:r>
    </w:p>
    <w:p w14:paraId="5EA0BFBB">
      <w:pPr>
        <w:jc w:val="center"/>
      </w:pPr>
      <w:r>
        <w:drawing>
          <wp:inline distT="0" distB="0" distL="114300" distR="114300">
            <wp:extent cx="5029200" cy="27641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5E44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4 RFM 分群金额贡献占比</w:t>
      </w:r>
    </w:p>
    <w:p w14:paraId="77EBB6B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4 显示各 RFM 分群的累计金额贡献占比，重要价值客户与重要发展客户贡献主要营收，一般挽留客户虽人数众多但金额贡献有限，印证客户长尾分布特征。</w:t>
      </w:r>
    </w:p>
    <w:p w14:paraId="3B74702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同期群留存：按首次购买月划分 23 个群，计算各群后续每月的留存率，第 3 月平均留存率仅 0.3%。这一数值显著低于成熟电商 20%–30% 的复购水平，表明 Olist 平台复购健康度偏低，客户多为一次性购买，需加强复购激励与购物篮关联推荐。</w:t>
      </w:r>
    </w:p>
    <w:p w14:paraId="25DBF4CB">
      <w:pPr>
        <w:jc w:val="center"/>
      </w:pPr>
      <w:r>
        <w:drawing>
          <wp:inline distT="0" distB="0" distL="114300" distR="114300">
            <wp:extent cx="4876800" cy="30645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11C2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5 同期群留存热力图</w:t>
      </w:r>
    </w:p>
    <w:p w14:paraId="2ED640B3">
      <w:pPr>
        <w:spacing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图 5 以首购月为行、距首购月数为列绘制留存率热力图，颜色越深留存率越高。首列（第 0 月）均为 100%，第 1 月起留存率骤降，后续月份维持低位，表明客户复购行为稀疏，需重点突破首购到二次购买的转化瓶颈。</w:t>
      </w:r>
    </w:p>
    <w:p w14:paraId="3F27FC1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帕累托/ABC 分类：74 个品类按销售额降序排列，A 类 12 个品类贡献 69.0% 销售额，B 类贡献约 20%，C 类长尾贡献约 10%，符合 20/80 法则。A 类为核心备货品类，应保障库存与首屏曝光；C 类长尾可评估清退或引流以释放资源。</w:t>
      </w:r>
    </w:p>
    <w:p w14:paraId="123849F8">
      <w:pPr>
        <w:jc w:val="center"/>
      </w:pPr>
      <w:r>
        <w:drawing>
          <wp:inline distT="0" distB="0" distL="114300" distR="114300">
            <wp:extent cx="5029200" cy="226250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D97E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6 帕累托图（Top20 品类，ABC 分类）</w:t>
      </w:r>
    </w:p>
    <w:p w14:paraId="3BB9451C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6 左轴为各品类销售额柱形（按 A/B/C 着色），右轴为累计占比折线，70% 与 90% 虚线标示 ABC 切分阈值。A 类品类（蓝色）集中在前列，少量品类贡献大部分营收，符合 20/80 法则。</w:t>
      </w:r>
    </w:p>
    <w:p w14:paraId="553F0589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趋势分析：24 个月销售额波动上升，首月 267 BRL，最近月 145 BRL，3 月移动平均 581203 BRL，整体呈增长态势。环比与同比指标揭示了季节性波动与年度增长节奏。</w:t>
      </w:r>
    </w:p>
    <w:p w14:paraId="378903A5">
      <w:pPr>
        <w:jc w:val="center"/>
      </w:pPr>
      <w:r>
        <w:drawing>
          <wp:inline distT="0" distB="0" distL="114300" distR="114300">
            <wp:extent cx="5029200" cy="22593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0C4D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7 月度趋势、移动平均与同比</w:t>
      </w:r>
    </w:p>
    <w:p w14:paraId="21A9A16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7 将月度销售额柱形、3 月移动平均折线与同比增长率柱形组合展示。移动平均线平滑了月度波动，揭示整体上升趋势；同比增长率显示多数月份为正增长，反映季节性与增长叠加效应。</w:t>
      </w:r>
    </w:p>
    <w:p w14:paraId="24FEA0A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SARIMA 预测：采用 SARIMA(1,1,1)(1,0,1,12) 模型对月度销售额建模，以末 6 月回测得 MAPE=6.95%、RMSE=71769，预测精度良好（MAPE&lt;10% 属于高精度）。未来 6 月预测首月 874857 BRL、末月 4481775 BRL，95% 置信区间如图 8 所示。预测值稳定，可为库存备货与营销节奏提供前瞻依据。</w:t>
      </w:r>
    </w:p>
    <w:p w14:paraId="6725B853">
      <w:pPr>
        <w:jc w:val="center"/>
      </w:pPr>
      <w:r>
        <w:drawing>
          <wp:inline distT="0" distB="0" distL="114300" distR="114300">
            <wp:extent cx="5029200" cy="22593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968D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8 SARIMA 销售额预测与 95% 置信区间</w:t>
      </w:r>
    </w:p>
    <w:p w14:paraId="35E7A473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8 蓝色实线为历史销售额，红色实线为未来 6 月预测值，红色填充带为 95% 置信区间。预测起点处以灰色虚线标注，置信区间随预测步长增大而展宽，符合预测不确定性递增的统计规律。</w:t>
      </w:r>
    </w:p>
    <w:p w14:paraId="766DA98D">
      <w:pPr>
        <w:pStyle w:val="3"/>
        <w:spacing w:before="240" w:line="360" w:lineRule="auto"/>
      </w:pPr>
      <w:bookmarkStart w:id="17" w:name="_Toc31147"/>
      <w:r>
        <w:rPr>
          <w:rFonts w:ascii="黑体" w:hAnsi="黑体" w:eastAsia="黑体"/>
          <w:b/>
          <w:sz w:val="28"/>
        </w:rPr>
        <w:t>5 Python 数据分析与可视化</w:t>
      </w:r>
      <w:bookmarkEnd w:id="17"/>
    </w:p>
    <w:p w14:paraId="1C65049B">
      <w:pPr>
        <w:pStyle w:val="4"/>
        <w:spacing w:line="360" w:lineRule="auto"/>
      </w:pPr>
      <w:bookmarkStart w:id="18" w:name="_Toc32264"/>
      <w:r>
        <w:rPr>
          <w:rFonts w:ascii="黑体" w:hAnsi="黑体" w:eastAsia="黑体"/>
          <w:b/>
          <w:sz w:val="24"/>
        </w:rPr>
        <w:t>5.1 数据探索性分析</w:t>
      </w:r>
      <w:bookmarkEnd w:id="18"/>
    </w:p>
    <w:p w14:paraId="06796E1E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在建模前，首先通过探索性可视化了解数据整体特征。月度订单数柱形图（图 1）显示订单量随时间增长，存在季节性波动；支付方式饼图显示信用卡占比约 74%，boleto（巴西本地转账）约 19%，反映巴西支付习惯；订单状态圆环图显示 delivered 占绝对主导；购买时段热力图（图 2）显示工作日午间与晚间为购买高峰，周末略低。这些探索性发现初步揭示了销售季节性、支付结构与购买时段集中特征，为后续模型选型与商业建议提供方向。</w:t>
      </w:r>
    </w:p>
    <w:p w14:paraId="0F2F2CD3">
      <w:pPr>
        <w:pStyle w:val="4"/>
        <w:spacing w:line="360" w:lineRule="auto"/>
      </w:pPr>
      <w:bookmarkStart w:id="19" w:name="_Toc16264"/>
      <w:r>
        <w:rPr>
          <w:rFonts w:ascii="黑体" w:hAnsi="黑体" w:eastAsia="黑体"/>
          <w:b/>
          <w:sz w:val="24"/>
        </w:rPr>
        <w:t>5.2 可视化模板复现</w:t>
      </w:r>
      <w:bookmarkEnd w:id="19"/>
    </w:p>
    <w:p w14:paraId="682E49D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对照《Excel数据可视化——从图表到数据大屏》30 种模板，使用 Matplotlib/Seaborn 复现 12 种：柱形图（月度订单数）、折线图（月度销售额）、饼图（支付方式）、双轴组合图（销售额+订单数）、堆积柱形图（州年度销售额）、散点图（金额与评价）、箱线图（州金额分布）、热力图（购买时段）、水平条形图（品类销售额）、圆环图（订单状态）、雷达图（RFM 特征）、棒棒糖图（新增客户）。复现要求在图表类型、布局结构、配色方案、标签样式、图例位置、标题设计等方面贴近原模板，并保证中文字体正常显示、坐标轴与单位标注完整、分辨率≥150dpi、统一命名 fig01–fig18。</w:t>
      </w:r>
    </w:p>
    <w:p w14:paraId="1CB7C83E">
      <w:pPr>
        <w:jc w:val="center"/>
      </w:pPr>
      <w:r>
        <w:drawing>
          <wp:inline distT="0" distB="0" distL="114300" distR="114300">
            <wp:extent cx="5029200" cy="1979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2703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9 销售额与订单数双轴组合图</w:t>
      </w:r>
    </w:p>
    <w:p w14:paraId="47FC251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9 左轴为销售额柱形，右轴为订单数折线，二者趋势高度一致，表明客单价相对稳定，销售额增长主要由订单数驱动。</w:t>
      </w:r>
    </w:p>
    <w:p w14:paraId="52CEE509">
      <w:pPr>
        <w:jc w:val="center"/>
      </w:pPr>
      <w:r>
        <w:drawing>
          <wp:inline distT="0" distB="0" distL="114300" distR="114300">
            <wp:extent cx="5029200" cy="19792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DCEC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10 月度销售额折线图</w:t>
      </w:r>
    </w:p>
    <w:p w14:paraId="0117823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10 以折线与填充区域展示月度销售额趋势，2017 年 11 月峰值显著，整体呈上升态势，2018 年维持高位运行。</w:t>
      </w:r>
    </w:p>
    <w:p w14:paraId="705006D8">
      <w:pPr>
        <w:jc w:val="center"/>
      </w:pPr>
      <w:r>
        <w:drawing>
          <wp:inline distT="0" distB="0" distL="114300" distR="114300">
            <wp:extent cx="4686300" cy="3644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AF2D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11 支付方式占比饼图</w:t>
      </w:r>
    </w:p>
    <w:p w14:paraId="1F8B19E9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11 显示信用卡支付占比约 74%，boleto（巴西本地转账）约 19%，反映巴西消费者高度依赖信用卡与boleto的支付习惯。</w:t>
      </w:r>
    </w:p>
    <w:p w14:paraId="7C27F778">
      <w:pPr>
        <w:jc w:val="center"/>
      </w:pPr>
      <w:r>
        <w:drawing>
          <wp:inline distT="0" distB="0" distL="114300" distR="114300">
            <wp:extent cx="5029200" cy="2769870"/>
            <wp:effectExtent l="0" t="0" r="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5EF3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12 州年度销售额堆积柱形图</w:t>
      </w:r>
    </w:p>
    <w:p w14:paraId="277C159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12 展示 Top8 州按年度堆积的销售额，圣保罗州（SP）贡献最大且逐年增长显著，反映巴西电商消费高度集中于东南部经济发达地区。</w:t>
      </w:r>
    </w:p>
    <w:p w14:paraId="50A01E9C">
      <w:pPr>
        <w:jc w:val="center"/>
      </w:pPr>
      <w:r>
        <w:drawing>
          <wp:inline distT="0" distB="0" distL="114300" distR="114300">
            <wp:extent cx="5029200" cy="33070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AD13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13 订单金额与评价分散点图</w:t>
      </w:r>
    </w:p>
    <w:p w14:paraId="7F3BA69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13 以订单金额为横轴、评价分为纵轴绘制散点，颜色映射评价分。多数订单集中在低金额区间，评价分以 4–5 分为主，高金额订单评价分散度增大。</w:t>
      </w:r>
    </w:p>
    <w:p w14:paraId="1E2A94BE">
      <w:pPr>
        <w:jc w:val="center"/>
      </w:pPr>
      <w:r>
        <w:drawing>
          <wp:inline distT="0" distB="0" distL="114300" distR="114300">
            <wp:extent cx="5029200" cy="27673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B7DE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14 Top10 州订单金额分布箱线图</w:t>
      </w:r>
    </w:p>
    <w:p w14:paraId="1F39181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14 展示 Top10 州订单金额的分布特征，各州中位数接近但离散程度不同，部分州存在高金额异常订单，反映区域消费能力差异。</w:t>
      </w:r>
    </w:p>
    <w:p w14:paraId="114C65C4">
      <w:pPr>
        <w:jc w:val="center"/>
      </w:pPr>
      <w:r>
        <w:drawing>
          <wp:inline distT="0" distB="0" distL="114300" distR="114300">
            <wp:extent cx="5029200" cy="27641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2BA2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15 品类销售额水平条形图</w:t>
      </w:r>
    </w:p>
    <w:p w14:paraId="17D235D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15 以水平条形展示 Top10 品类销售额，健康美容、钟表礼品、运动休闲等品类领先，各品类间销售额差距明显，为 ABC 分类提供直观依据。</w:t>
      </w:r>
    </w:p>
    <w:p w14:paraId="32F0E6D3">
      <w:pPr>
        <w:jc w:val="center"/>
      </w:pPr>
      <w:r>
        <w:drawing>
          <wp:inline distT="0" distB="0" distL="114300" distR="114300">
            <wp:extent cx="3707130" cy="2933065"/>
            <wp:effectExtent l="0" t="0" r="127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B87A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16 订单状态圆环图</w:t>
      </w:r>
    </w:p>
    <w:p w14:paraId="3E412AA4">
      <w:pPr>
        <w:spacing w:line="360" w:lineRule="auto"/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图 16 以圆环图展示订单状态占比，delivered（已交付）占绝对主导（约 97%），canceled 与 unavailable 占比极小，数据质量良好。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     </w:t>
      </w:r>
    </w:p>
    <w:p w14:paraId="26A14723">
      <w:pPr>
        <w:spacing w:line="360" w:lineRule="auto"/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    </w:t>
      </w:r>
      <w:r>
        <w:drawing>
          <wp:inline distT="0" distB="0" distL="114300" distR="114300">
            <wp:extent cx="4389120" cy="3656330"/>
            <wp:effectExtent l="0" t="0" r="508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4907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17 重要客群 RFM 特征雷达图</w:t>
      </w:r>
    </w:p>
    <w:p w14:paraId="0D9383B9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17 以雷达图展示重要价值、重要发展、重要保持、重要挽留四类客户的 RFM 归一化特征，各类群在 R/F/M 三维上的优势区域不同，为差异化运营策略提供可视化依据。</w:t>
      </w:r>
    </w:p>
    <w:p w14:paraId="5E68FF7A">
      <w:pPr>
        <w:jc w:val="center"/>
      </w:pPr>
      <w:r>
        <w:drawing>
          <wp:inline distT="0" distB="0" distL="114300" distR="114300">
            <wp:extent cx="5029200" cy="19786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E292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18 月度新增客户棒棒糖图</w:t>
      </w:r>
    </w:p>
    <w:p w14:paraId="74B1739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18 以棒棒糖图展示各月新增客户数，2017 年下半年新增客户显著增多，与销售额增长趋势一致，反映平台用户规模持续扩大。</w:t>
      </w:r>
    </w:p>
    <w:p w14:paraId="2D9547E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Python 与 Excel 实现异同对比：相同处在于二者均能实现柱形、折线、饼图等基础图表与双轴组合；不同处在于 Python 通过 Pandas 可高效完成多表关联与聚合，Matplotlib/Seaborn 提供更精细的样式控制与编程可复现性，Streamlit 可搭建 Excel 难以实现的联动筛选交互大屏，但 Python 在拖拽式快速制图上不及 Excel 直观。本项目以代码生成全部图表，保证可一键复现，克服了 Excel 在大规模数据与交互大屏上的局限。</w:t>
      </w:r>
    </w:p>
    <w:p w14:paraId="2ABB9568">
      <w:pPr>
        <w:pStyle w:val="4"/>
        <w:spacing w:line="360" w:lineRule="auto"/>
      </w:pPr>
      <w:bookmarkStart w:id="20" w:name="_Toc19118"/>
      <w:r>
        <w:rPr>
          <w:rFonts w:ascii="黑体" w:hAnsi="黑体" w:eastAsia="黑体"/>
          <w:b/>
          <w:sz w:val="24"/>
        </w:rPr>
        <w:t>5.3 业务模型图</w:t>
      </w:r>
      <w:bookmarkEnd w:id="20"/>
    </w:p>
    <w:p w14:paraId="3F327CF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7 张业务模型图与第 4 章五种模型一一对应：RFM 气泡散点图（图 3）与分群金额占比图（图 4）、同期群留存热力图（图 5）、帕累托图（图 6）与 ABC 构成饼图（图 19）、趋势移动平均同比图（图 7）、SARIMA 预测置信区间图（图 8）。每张图均与对应模型的计算结果直接关联，确保图表与模型结论一一对应，避免图表与模型脱节。</w:t>
      </w:r>
    </w:p>
    <w:p w14:paraId="339629FD">
      <w:pPr>
        <w:jc w:val="center"/>
      </w:pPr>
      <w:r>
        <w:drawing>
          <wp:inline distT="0" distB="0" distL="114300" distR="114300">
            <wp:extent cx="4273550" cy="3148965"/>
            <wp:effectExtent l="0" t="0" r="635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F5FC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19 ABC 分类构成饼图</w:t>
      </w:r>
    </w:p>
    <w:p w14:paraId="52A469F9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 19 展示 A/B/C 三类品类的销售额构成，A 类品类数量少但贡献近 70% 销售额，C 类品类数量多但贡献仅约 10%，品类集中度显著，为备货优先级提供依据。</w:t>
      </w:r>
    </w:p>
    <w:p w14:paraId="27AFBC1B">
      <w:pPr>
        <w:pStyle w:val="4"/>
        <w:spacing w:line="360" w:lineRule="auto"/>
      </w:pPr>
      <w:bookmarkStart w:id="21" w:name="_Toc18421"/>
      <w:r>
        <w:rPr>
          <w:rFonts w:ascii="黑体" w:hAnsi="黑体" w:eastAsia="黑体"/>
          <w:b/>
          <w:sz w:val="24"/>
        </w:rPr>
        <w:t>5.4 交互式可视化大屏</w:t>
      </w:r>
      <w:bookmarkEnd w:id="21"/>
    </w:p>
    <w:p w14:paraId="0C93842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使用 Streamlit 搭建交互式大屏，包含 12 个联动组件：州/品类/时间三维筛选器（sidebar）、4 张 KPI 卡（总销售额、订单数、平均评价、客户数）、月度趋势柱形图、支付方式占比图、RFM 散点图、Top10 订单明细表、同期群留存热力图。筛选器联动所有组件——当用户选择特定州或品类时，KPI 卡与各图表实时刷新，实现多维下钻分析。大屏全 Python 实现，未使用 Power BI、Tableau 等 BI 软件，符合课程要求。</w:t>
      </w:r>
    </w:p>
    <w:p w14:paraId="0028C972">
      <w:pPr>
        <w:jc w:val="center"/>
      </w:pPr>
      <w:r>
        <w:drawing>
          <wp:inline distT="0" distB="0" distL="114300" distR="114300">
            <wp:extent cx="5285740" cy="3385820"/>
            <wp:effectExtent l="0" t="0" r="1016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D7D8">
      <w:pPr>
        <w:spacing w:line="240" w:lineRule="auto"/>
        <w:jc w:val="center"/>
      </w:pPr>
      <w:r>
        <w:rPr>
          <w:rFonts w:ascii="宋体" w:hAnsi="宋体" w:eastAsia="宋体"/>
          <w:b w:val="0"/>
          <w:sz w:val="21"/>
        </w:rPr>
        <w:t>图 20 交互式可视化大屏截图</w:t>
      </w:r>
    </w:p>
    <w:p w14:paraId="5B34CDCC">
      <w:pPr>
        <w:pStyle w:val="3"/>
        <w:spacing w:before="240" w:line="360" w:lineRule="auto"/>
      </w:pPr>
      <w:bookmarkStart w:id="22" w:name="_Toc2790"/>
      <w:r>
        <w:rPr>
          <w:rFonts w:ascii="黑体" w:hAnsi="黑体" w:eastAsia="黑体"/>
          <w:b/>
          <w:sz w:val="28"/>
        </w:rPr>
        <w:t>6 商业案例分析</w:t>
      </w:r>
      <w:bookmarkEnd w:id="22"/>
    </w:p>
    <w:p w14:paraId="162AD8D2">
      <w:pPr>
        <w:pStyle w:val="4"/>
        <w:spacing w:line="360" w:lineRule="auto"/>
      </w:pPr>
      <w:bookmarkStart w:id="23" w:name="_Toc3318"/>
      <w:r>
        <w:rPr>
          <w:rFonts w:ascii="黑体" w:hAnsi="黑体" w:eastAsia="黑体"/>
          <w:b/>
          <w:sz w:val="24"/>
        </w:rPr>
        <w:t>6.1 案例背景</w:t>
      </w:r>
      <w:bookmarkEnd w:id="23"/>
    </w:p>
    <w:p w14:paraId="537CAB7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Olist 作为巴西多卖家电商平台，连接中小卖家与消费者，平台提供统一的订单管理、支付与物流接口。该模式的优势在于轻资产运营，但挑战在于：客户复购率偏低（一次性购买为主）、品类众多导致备货分散、交付时效依赖第三方物流而易出现迟到、销售波动难以预测。本案例基于 2016–2018 年数据，量化客户与品类结构，预测销售趋势，为平台运营决策提供数据支撑。</w:t>
      </w:r>
    </w:p>
    <w:p w14:paraId="534DFA66">
      <w:pPr>
        <w:pStyle w:val="4"/>
        <w:spacing w:line="360" w:lineRule="auto"/>
      </w:pPr>
      <w:bookmarkStart w:id="24" w:name="_Toc29842"/>
      <w:r>
        <w:rPr>
          <w:rFonts w:ascii="黑体" w:hAnsi="黑体" w:eastAsia="黑体"/>
          <w:b/>
          <w:sz w:val="24"/>
        </w:rPr>
        <w:t>6.2 结果解读</w:t>
      </w:r>
      <w:bookmarkEnd w:id="24"/>
    </w:p>
    <w:p w14:paraId="30641F4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综合五个模型结果，得到四点核心发现。客户结构上，重要价值客户 1336 人贡献 3.0% 销售额，呈现典型长尾分布，少数高价值客户支撑主要营收；同期群第 3 月留存率仅 0.3%，复购薄弱，客户生命周期价值有较大提升空间。品类结构上，A 类 12 个品类贡献 69.0% 销售额，集中度高，符合 20/80 法则，核心品类明确。趋势与预测上，24 个月销售额波动上升，SARIMA 回测 MAPE=6.95% 表明模型可靠，未来 6 月预测稳定在 874857–4481775 BRL 区间。交付时效上，7,827 笔迟到订单占已交付的 8.1%，存在优化空间。</w:t>
      </w:r>
    </w:p>
    <w:p w14:paraId="3D8E278D">
      <w:pPr>
        <w:pStyle w:val="4"/>
        <w:spacing w:line="360" w:lineRule="auto"/>
      </w:pPr>
      <w:bookmarkStart w:id="25" w:name="_Toc18693"/>
      <w:r>
        <w:rPr>
          <w:rFonts w:ascii="黑体" w:hAnsi="黑体" w:eastAsia="黑体"/>
          <w:b/>
          <w:sz w:val="24"/>
        </w:rPr>
        <w:t>6.3 商业建议</w:t>
      </w:r>
      <w:bookmarkEnd w:id="25"/>
    </w:p>
    <w:p w14:paraId="08F40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/>
        <w:textAlignment w:val="auto"/>
      </w:pPr>
      <w:r>
        <w:rPr>
          <w:rFonts w:ascii="宋体" w:hAnsi="宋体" w:eastAsia="宋体"/>
          <w:b w:val="0"/>
          <w:sz w:val="24"/>
        </w:rPr>
        <w:t>建议一（高价值客户运营）：对 1,336 位重要价值客户建立专属运营计划，推送个性化推荐与会员权益，定期触达以稳固 3.0% 销售额基本盘；对一般挽留客户设计召回流程，通过优惠券与关怀短信尝试激活。</w:t>
      </w:r>
    </w:p>
    <w:p w14:paraId="40D94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/>
        <w:textAlignment w:val="auto"/>
      </w:pPr>
      <w:r>
        <w:rPr>
          <w:rFonts w:ascii="宋体" w:hAnsi="宋体" w:eastAsia="宋体"/>
          <w:b w:val="0"/>
          <w:sz w:val="24"/>
        </w:rPr>
        <w:t>建议二（A 类品类备货强化）：对 A 类 12 个核心品类强化备货深度与首屏曝光，降低缺货率以保障营收主力；对 C 类长尾品类评估清退或引流，释放库存与运营资源，提升资金周转效率。</w:t>
      </w:r>
    </w:p>
    <w:p w14:paraId="4F555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/>
        <w:textAlignment w:val="auto"/>
      </w:pPr>
      <w:r>
        <w:rPr>
          <w:rFonts w:ascii="宋体" w:hAnsi="宋体" w:eastAsia="宋体"/>
          <w:b w:val="0"/>
          <w:sz w:val="24"/>
        </w:rPr>
        <w:t>建议三（复购激励）：针对第 3 月留存率仅 0.3% 的复购短板，设计 30/60/90 天复购激励周期，结合购物篮关联推荐（可后续引入 Apriori 模型）在客户首购后精准推送搭配商品，提升二次转化率。</w:t>
      </w:r>
    </w:p>
    <w:p w14:paraId="63304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/>
        <w:textAlignment w:val="auto"/>
      </w:pPr>
      <w:r>
        <w:rPr>
          <w:rFonts w:ascii="宋体" w:hAnsi="宋体" w:eastAsia="宋体"/>
          <w:b w:val="0"/>
          <w:sz w:val="24"/>
        </w:rPr>
        <w:t>建议四（交付时效优化）：7,827 笔迟到订单占比 8.1%，应优化 A 类品类的卖家履约管理与物流路由，将平均交付天数与迟到率纳入卖家 KPI 考核，提升客户体验与复购意愿。</w:t>
      </w:r>
    </w:p>
    <w:p w14:paraId="5043F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/>
        <w:textAlignment w:val="auto"/>
      </w:pPr>
      <w:r>
        <w:rPr>
          <w:rFonts w:ascii="宋体" w:hAnsi="宋体" w:eastAsia="宋体"/>
          <w:b w:val="0"/>
          <w:sz w:val="24"/>
        </w:rPr>
        <w:t>建议五（支付渠道拓展）：信用卡支付占比约 74%，可深化分期免息合作以提升客单价；同时拓展 boleto 渠道覆盖无信用卡人群，并探索 pix（巴西即时支付）以迎合新支付习惯。</w:t>
      </w:r>
    </w:p>
    <w:p w14:paraId="42551293">
      <w:pPr>
        <w:pStyle w:val="3"/>
        <w:spacing w:before="240" w:line="360" w:lineRule="auto"/>
      </w:pPr>
      <w:bookmarkStart w:id="26" w:name="_Toc27590"/>
      <w:r>
        <w:rPr>
          <w:rFonts w:ascii="黑体" w:hAnsi="黑体" w:eastAsia="黑体"/>
          <w:b/>
          <w:sz w:val="28"/>
        </w:rPr>
        <w:t>7 结论与展望</w:t>
      </w:r>
      <w:bookmarkEnd w:id="26"/>
    </w:p>
    <w:p w14:paraId="3CEA6E91">
      <w:pPr>
        <w:pStyle w:val="4"/>
        <w:spacing w:line="360" w:lineRule="auto"/>
      </w:pPr>
      <w:bookmarkStart w:id="27" w:name="_Toc7529"/>
      <w:r>
        <w:rPr>
          <w:rFonts w:ascii="黑体" w:hAnsi="黑体" w:eastAsia="黑体"/>
          <w:b/>
          <w:sz w:val="24"/>
        </w:rPr>
        <w:t>7.1 研究结论</w:t>
      </w:r>
      <w:bookmarkEnd w:id="27"/>
    </w:p>
    <w:p w14:paraId="5B6B174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本研究以 Olist 巴西电商数据为对象，完成端到端商业分析，验证了 Python 技术栈在多表关联、商业建模与交互大屏场景下对 Excel 可视化模板的复现与增强能力。五种模型刻画了客户长尾分布、复购薄弱、品类集中、销售增长与可预测性五大特征，SARIMA 回测 MAPE 6.95% 表明预测可靠。基于分析提炼五条可落地商业建议，覆盖客户运营、品类备货、复购激励、交付优化与支付拓展，均有数据支撑。</w:t>
      </w:r>
    </w:p>
    <w:p w14:paraId="67F87ED9">
      <w:pPr>
        <w:pStyle w:val="4"/>
        <w:spacing w:line="360" w:lineRule="auto"/>
      </w:pPr>
      <w:bookmarkStart w:id="28" w:name="_Toc3133"/>
      <w:r>
        <w:rPr>
          <w:rFonts w:ascii="黑体" w:hAnsi="黑体" w:eastAsia="黑体"/>
          <w:b/>
          <w:sz w:val="24"/>
        </w:rPr>
        <w:t>7.2 局限性与展望</w:t>
      </w:r>
      <w:bookmarkEnd w:id="28"/>
    </w:p>
    <w:p w14:paraId="458F379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本研究存在两点局限。其一，数据时间范围限于 2016 年 10 月至 2018 年 8 月，未能覆盖更长时间跨度以验证季节性模式的稳定性。其二，未引入关联规则与流失预警模型，复购建议尚缺商品级关联支撑。展望方向包括：引入 Apriori 购物篮关联规则为复购推荐提供商品级依据；构建客户流失预警模型识别高风险客户；接入实时数据流构建动态大屏；将 SARIMA 升级为 Prophet 或 LSTM 以捕捉更复杂模式。</w:t>
      </w:r>
    </w:p>
    <w:p w14:paraId="2EA0A7FA">
      <w:pPr>
        <w:pStyle w:val="3"/>
        <w:spacing w:before="240" w:line="360" w:lineRule="auto"/>
      </w:pPr>
      <w:bookmarkStart w:id="29" w:name="_Toc51"/>
      <w:r>
        <w:rPr>
          <w:rFonts w:ascii="黑体" w:hAnsi="黑体" w:eastAsia="黑体"/>
          <w:b/>
          <w:sz w:val="28"/>
        </w:rPr>
        <w:t>8 AI 使用披露</w:t>
      </w:r>
      <w:bookmarkEnd w:id="29"/>
    </w:p>
    <w:p w14:paraId="4DC8B42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本研究使用 CodeArts（华为云码道代码智能体，GLM-5.2 模型）辅助完成。使用环节包括：项目脚手架生成、Python 代码编写、可视化样式调参、论文撰写与图表嵌入。关键提示词示例："根据要求及评分标准与模板文档，完成 Olist 电商数据端到端商业数据分析项目，应用 RFM、同期群、帕累托、环比同比、SARIMA 五种模型，生成≥10 张图表与交互大屏，撰写≥3000 字论文"。所有代码与结论均经人工核验，AI 仅作为辅助工具，核心分析逻辑、模型选型与商业判断由作者负责。本项目使用 Olist 官方公开发布的真实商业交易数据，已匿名化处理，合规获取。</w:t>
      </w:r>
    </w:p>
    <w:p w14:paraId="56144DC9">
      <w:pPr>
        <w:pStyle w:val="3"/>
        <w:spacing w:before="240" w:line="360" w:lineRule="auto"/>
      </w:pPr>
      <w:bookmarkStart w:id="30" w:name="_Toc16362"/>
      <w:r>
        <w:rPr>
          <w:rFonts w:ascii="黑体" w:hAnsi="黑体" w:eastAsia="黑体"/>
          <w:b/>
          <w:sz w:val="28"/>
        </w:rPr>
        <w:t>9 参考文献</w:t>
      </w:r>
      <w:bookmarkEnd w:id="30"/>
    </w:p>
    <w:p w14:paraId="75BE274B">
      <w:pPr>
        <w:spacing w:line="360" w:lineRule="auto"/>
      </w:pPr>
      <w:r>
        <w:rPr>
          <w:rFonts w:ascii="宋体" w:hAnsi="宋体" w:eastAsia="宋体"/>
          <w:b w:val="0"/>
          <w:sz w:val="21"/>
        </w:rPr>
        <w:t>[1] Olist. Brazilian E-Commerce Public Dataset by Olist[DB/OL]. Kaggle, 2018.</w:t>
      </w:r>
    </w:p>
    <w:p w14:paraId="7549F523">
      <w:pPr>
        <w:spacing w:line="360" w:lineRule="auto"/>
      </w:pPr>
      <w:r>
        <w:rPr>
          <w:rFonts w:ascii="宋体" w:hAnsi="宋体" w:eastAsia="宋体"/>
          <w:b w:val="0"/>
          <w:sz w:val="21"/>
        </w:rPr>
        <w:t>[2] 刘万祥. Excel数据可视化——从图表到数据大屏[M]. 北京: 电子工业出版社, 2021.</w:t>
      </w:r>
    </w:p>
    <w:p w14:paraId="4DAFA63D">
      <w:pPr>
        <w:spacing w:line="360" w:lineRule="auto"/>
      </w:pPr>
      <w:r>
        <w:rPr>
          <w:rFonts w:ascii="宋体" w:hAnsi="宋体" w:eastAsia="宋体"/>
          <w:b w:val="0"/>
          <w:sz w:val="21"/>
        </w:rPr>
        <w:t>[3] McKinney W. Python for Data Analysis[M]. 3rd ed. O'Reilly, 2022.</w:t>
      </w:r>
    </w:p>
    <w:p w14:paraId="08939175">
      <w:pPr>
        <w:spacing w:line="360" w:lineRule="auto"/>
      </w:pPr>
      <w:r>
        <w:rPr>
          <w:rFonts w:ascii="宋体" w:hAnsi="宋体" w:eastAsia="宋体"/>
          <w:b w:val="0"/>
          <w:sz w:val="21"/>
        </w:rPr>
        <w:t>[4] Hunter J D. Matplotlib: A 2D Graphics Environment[J]. Computing in Science &amp; Engineering, 9(3): 90-95, 2007.</w:t>
      </w:r>
    </w:p>
    <w:p w14:paraId="7F395189">
      <w:pPr>
        <w:spacing w:line="360" w:lineRule="auto"/>
      </w:pPr>
      <w:r>
        <w:rPr>
          <w:rFonts w:ascii="宋体" w:hAnsi="宋体" w:eastAsia="宋体"/>
          <w:b w:val="0"/>
          <w:sz w:val="21"/>
        </w:rPr>
        <w:t>[5] Buitinck L, et al. API design for machine learning software: experiences from the scikit-learn project[J]. arXiv:1309.0238, 2013.</w:t>
      </w:r>
    </w:p>
    <w:p w14:paraId="33027BAE">
      <w:pPr>
        <w:spacing w:line="360" w:lineRule="auto"/>
      </w:pPr>
      <w:r>
        <w:rPr>
          <w:rFonts w:ascii="宋体" w:hAnsi="宋体" w:eastAsia="宋体"/>
          <w:b w:val="0"/>
          <w:sz w:val="21"/>
        </w:rPr>
        <w:t>[6] Hyndman R J, Athanasopoulos G. Forecasting: Principles and Practice[M]. 3rd ed. OTexts, 2021.</w:t>
      </w:r>
    </w:p>
    <w:p w14:paraId="37024B9D">
      <w:pPr>
        <w:spacing w:line="360" w:lineRule="auto"/>
      </w:pPr>
      <w:r>
        <w:rPr>
          <w:rFonts w:ascii="宋体" w:hAnsi="宋体" w:eastAsia="宋体"/>
          <w:b w:val="0"/>
          <w:sz w:val="21"/>
        </w:rPr>
        <w:t>[7] Seabold S, Perktold J. Statsmodels: Econometric and Statistical Modeling with Python[C]. Proc. of the 9th Python in Science Conference, 2010.</w:t>
      </w:r>
    </w:p>
    <w:p w14:paraId="6CE34A54">
      <w:pPr>
        <w:pStyle w:val="3"/>
        <w:spacing w:before="240" w:line="360" w:lineRule="auto"/>
      </w:pPr>
      <w:bookmarkStart w:id="31" w:name="_Toc22317"/>
      <w:r>
        <w:rPr>
          <w:rFonts w:ascii="黑体" w:hAnsi="黑体" w:eastAsia="黑体"/>
          <w:b/>
          <w:sz w:val="28"/>
        </w:rPr>
        <w:t>10 附录</w:t>
      </w:r>
      <w:bookmarkEnd w:id="31"/>
    </w:p>
    <w:p w14:paraId="73D1492D">
      <w:pPr>
        <w:pStyle w:val="4"/>
        <w:spacing w:line="360" w:lineRule="auto"/>
      </w:pPr>
      <w:bookmarkStart w:id="32" w:name="_Toc21152"/>
      <w:r>
        <w:rPr>
          <w:rFonts w:ascii="黑体" w:hAnsi="黑体" w:eastAsia="黑体"/>
          <w:b/>
          <w:sz w:val="24"/>
        </w:rPr>
        <w:t>附录 A 核心代码片段</w:t>
      </w:r>
      <w:bookmarkEnd w:id="32"/>
    </w:p>
    <w:p w14:paraId="4135D70E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RFM 八分类核心逻辑（scripts/03_analysis.py 节选）：</w:t>
      </w:r>
    </w:p>
    <w:p w14:paraId="369ABAED">
      <w:pPr>
        <w:spacing w:line="276" w:lineRule="auto"/>
      </w:pPr>
      <w:r>
        <w:rPr>
          <w:rFonts w:ascii="Consolas" w:hAnsi="Consolas" w:eastAsia="Consolas"/>
          <w:b w:val="0"/>
          <w:sz w:val="18"/>
        </w:rPr>
        <w:t>snapshot = df['order_purchase_timestamp'].max() + pd.Timedelta(days=1)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rfm = df.groupby('customer_unique_id').agg(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R=('order_purchase_timestamp', lambda x: (snapshot - x.max()).days),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F=('order_id', 'nunique'), M=('order_value', 'sum')).reset_index()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r_rmed, f_rmed, m_rmed = rfm['R'].median(), rfm['F'].median(), rfm['M'].median()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rfm['R_high'] = rfm['R'] &lt;= r_rmed  # R 越小越好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rfm['F_high'] = rfm['F'] &gt; f_rmed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rfm['M_high'] = rfm['M'] &gt; m_rmed  # 据八种组合映射分群</w:t>
      </w:r>
    </w:p>
    <w:p w14:paraId="569B5BC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SARIMA 预测与回测核心逻辑（scripts/03_analysis.py 节选）：</w:t>
      </w:r>
    </w:p>
    <w:p w14:paraId="74CB55E7">
      <w:pPr>
        <w:spacing w:line="276" w:lineRule="auto"/>
      </w:pPr>
      <w:r>
        <w:rPr>
          <w:rFonts w:ascii="Consolas" w:hAnsi="Consolas" w:eastAsia="Consolas"/>
          <w:b w:val="0"/>
          <w:sz w:val="18"/>
        </w:rPr>
        <w:t>from statsmodels.tsa.statespace.sarimax import SARIMAX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train, test = series.iloc[:-6], series.iloc[-6:]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fit = SARIMAX(train, order=(1,1,1), seasonal_order=(1,0,1,12)).fit(disp=False)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pred = fit.get_forecast(steps=6).predicted_mean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mape = (abs((test - pred) / test)).mean() * 100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rmse = (((test - pred) ** 2).mean()) ** 0.5</w:t>
      </w:r>
    </w:p>
    <w:p w14:paraId="6757DC5A">
      <w:pPr>
        <w:pStyle w:val="4"/>
        <w:spacing w:line="360" w:lineRule="auto"/>
      </w:pPr>
      <w:bookmarkStart w:id="33" w:name="_Toc3905"/>
      <w:r>
        <w:rPr>
          <w:rFonts w:ascii="黑体" w:hAnsi="黑体" w:eastAsia="黑体"/>
          <w:b/>
          <w:sz w:val="24"/>
        </w:rPr>
        <w:t>附录 B 仓库链接与目录结构</w:t>
      </w:r>
      <w:bookmarkEnd w:id="33"/>
    </w:p>
    <w:p w14:paraId="328F81B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项目目录结构见 README.md，包含 data/、scripts/、outputs/、docs/ 与一键复现入口 run_all.py。建议托管于 Gitee/github 公开仓库，仓库链接：https://github.com/cdlwqs/data-analysis.git。复现步骤：pip install -r requirements.txt &amp;&amp; python run_all.py。</w:t>
      </w:r>
    </w:p>
    <w:p w14:paraId="67E15309">
      <w:pPr>
        <w:pStyle w:val="4"/>
        <w:spacing w:line="360" w:lineRule="auto"/>
      </w:pPr>
      <w:bookmarkStart w:id="34" w:name="_Toc13409"/>
      <w:r>
        <w:rPr>
          <w:rFonts w:ascii="黑体" w:hAnsi="黑体" w:eastAsia="黑体"/>
          <w:b/>
          <w:sz w:val="24"/>
        </w:rPr>
        <w:t>附录 C 图表索引</w:t>
      </w:r>
      <w:bookmarkEnd w:id="3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6208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7A77BD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fig01</w:t>
            </w:r>
          </w:p>
        </w:tc>
        <w:tc>
          <w:tcPr>
            <w:tcW w:w="2280" w:type="dxa"/>
          </w:tcPr>
          <w:p w14:paraId="54AE62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月度订单数_柱形图</w:t>
            </w:r>
          </w:p>
        </w:tc>
        <w:tc>
          <w:tcPr>
            <w:tcW w:w="2280" w:type="dxa"/>
          </w:tcPr>
          <w:p w14:paraId="2A3CA4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fig10</w:t>
            </w:r>
          </w:p>
        </w:tc>
        <w:tc>
          <w:tcPr>
            <w:tcW w:w="2280" w:type="dxa"/>
          </w:tcPr>
          <w:p w14:paraId="750766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订单状态_圆环图</w:t>
            </w:r>
          </w:p>
        </w:tc>
      </w:tr>
      <w:tr w14:paraId="11B2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6829F8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fig02</w:t>
            </w:r>
          </w:p>
        </w:tc>
        <w:tc>
          <w:tcPr>
            <w:tcW w:w="2280" w:type="dxa"/>
          </w:tcPr>
          <w:p w14:paraId="51D3B3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月度销售额_折线图</w:t>
            </w:r>
          </w:p>
        </w:tc>
        <w:tc>
          <w:tcPr>
            <w:tcW w:w="2280" w:type="dxa"/>
          </w:tcPr>
          <w:p w14:paraId="2FBDA3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fig11</w:t>
            </w:r>
          </w:p>
        </w:tc>
        <w:tc>
          <w:tcPr>
            <w:tcW w:w="2280" w:type="dxa"/>
          </w:tcPr>
          <w:p w14:paraId="467836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RFM特征_雷达图</w:t>
            </w:r>
          </w:p>
        </w:tc>
      </w:tr>
      <w:tr w14:paraId="7C46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729994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fig03</w:t>
            </w:r>
          </w:p>
        </w:tc>
        <w:tc>
          <w:tcPr>
            <w:tcW w:w="2280" w:type="dxa"/>
          </w:tcPr>
          <w:p w14:paraId="512F57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支付方式占比_饼图</w:t>
            </w:r>
          </w:p>
        </w:tc>
        <w:tc>
          <w:tcPr>
            <w:tcW w:w="2280" w:type="dxa"/>
          </w:tcPr>
          <w:p w14:paraId="6F5E1B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fig12</w:t>
            </w:r>
          </w:p>
        </w:tc>
        <w:tc>
          <w:tcPr>
            <w:tcW w:w="2280" w:type="dxa"/>
          </w:tcPr>
          <w:p w14:paraId="784DF6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新增客户_棒棒糖图</w:t>
            </w:r>
          </w:p>
        </w:tc>
      </w:tr>
      <w:tr w14:paraId="4503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1211AD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fig04</w:t>
            </w:r>
          </w:p>
        </w:tc>
        <w:tc>
          <w:tcPr>
            <w:tcW w:w="2280" w:type="dxa"/>
          </w:tcPr>
          <w:p w14:paraId="3F4AD4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销售额订单数_双轴组合图</w:t>
            </w:r>
          </w:p>
        </w:tc>
        <w:tc>
          <w:tcPr>
            <w:tcW w:w="2280" w:type="dxa"/>
          </w:tcPr>
          <w:p w14:paraId="092285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fig13</w:t>
            </w:r>
          </w:p>
        </w:tc>
        <w:tc>
          <w:tcPr>
            <w:tcW w:w="2280" w:type="dxa"/>
          </w:tcPr>
          <w:p w14:paraId="08BDE4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RFM八分类_气泡散点图</w:t>
            </w:r>
          </w:p>
        </w:tc>
      </w:tr>
      <w:tr w14:paraId="2254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04604A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fig05</w:t>
            </w:r>
          </w:p>
        </w:tc>
        <w:tc>
          <w:tcPr>
            <w:tcW w:w="2280" w:type="dxa"/>
          </w:tcPr>
          <w:p w14:paraId="363C2C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州年度销售额_堆积柱形图</w:t>
            </w:r>
          </w:p>
        </w:tc>
        <w:tc>
          <w:tcPr>
            <w:tcW w:w="2280" w:type="dxa"/>
          </w:tcPr>
          <w:p w14:paraId="1E3DD6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fig14</w:t>
            </w:r>
          </w:p>
        </w:tc>
        <w:tc>
          <w:tcPr>
            <w:tcW w:w="2280" w:type="dxa"/>
          </w:tcPr>
          <w:p w14:paraId="2DE5BE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RFM分群金额占比</w:t>
            </w:r>
          </w:p>
        </w:tc>
      </w:tr>
      <w:tr w14:paraId="68627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137865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fig06</w:t>
            </w:r>
          </w:p>
        </w:tc>
        <w:tc>
          <w:tcPr>
            <w:tcW w:w="2280" w:type="dxa"/>
          </w:tcPr>
          <w:p w14:paraId="5C672D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金额评价_散点图</w:t>
            </w:r>
          </w:p>
        </w:tc>
        <w:tc>
          <w:tcPr>
            <w:tcW w:w="2280" w:type="dxa"/>
          </w:tcPr>
          <w:p w14:paraId="7D0E95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fig15</w:t>
            </w:r>
          </w:p>
        </w:tc>
        <w:tc>
          <w:tcPr>
            <w:tcW w:w="2280" w:type="dxa"/>
          </w:tcPr>
          <w:p w14:paraId="437D6C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同期群留存_热力图</w:t>
            </w:r>
          </w:p>
        </w:tc>
      </w:tr>
      <w:tr w14:paraId="00F4D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139679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fig07</w:t>
            </w:r>
          </w:p>
        </w:tc>
        <w:tc>
          <w:tcPr>
            <w:tcW w:w="2280" w:type="dxa"/>
          </w:tcPr>
          <w:p w14:paraId="530779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州金额分布_箱线图</w:t>
            </w:r>
          </w:p>
        </w:tc>
        <w:tc>
          <w:tcPr>
            <w:tcW w:w="2280" w:type="dxa"/>
          </w:tcPr>
          <w:p w14:paraId="7BB97F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fig16</w:t>
            </w:r>
          </w:p>
        </w:tc>
        <w:tc>
          <w:tcPr>
            <w:tcW w:w="2280" w:type="dxa"/>
          </w:tcPr>
          <w:p w14:paraId="320CD9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帕累托图_ABC</w:t>
            </w:r>
          </w:p>
        </w:tc>
      </w:tr>
      <w:tr w14:paraId="11AA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397D6C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fig08</w:t>
            </w:r>
          </w:p>
        </w:tc>
        <w:tc>
          <w:tcPr>
            <w:tcW w:w="2280" w:type="dxa"/>
          </w:tcPr>
          <w:p w14:paraId="3856C2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购买时段_热力图</w:t>
            </w:r>
          </w:p>
        </w:tc>
        <w:tc>
          <w:tcPr>
            <w:tcW w:w="2280" w:type="dxa"/>
          </w:tcPr>
          <w:p w14:paraId="58D3D6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fig17</w:t>
            </w:r>
          </w:p>
        </w:tc>
        <w:tc>
          <w:tcPr>
            <w:tcW w:w="2280" w:type="dxa"/>
          </w:tcPr>
          <w:p w14:paraId="2240D5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ABC构成_饼图</w:t>
            </w:r>
          </w:p>
        </w:tc>
      </w:tr>
      <w:tr w14:paraId="6BB72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33E4F8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fig09</w:t>
            </w:r>
          </w:p>
        </w:tc>
        <w:tc>
          <w:tcPr>
            <w:tcW w:w="2280" w:type="dxa"/>
          </w:tcPr>
          <w:p w14:paraId="6E877A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品类销售额_水平条形图</w:t>
            </w:r>
          </w:p>
        </w:tc>
        <w:tc>
          <w:tcPr>
            <w:tcW w:w="2280" w:type="dxa"/>
          </w:tcPr>
          <w:p w14:paraId="411902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fig18</w:t>
            </w:r>
          </w:p>
        </w:tc>
        <w:tc>
          <w:tcPr>
            <w:tcW w:w="2280" w:type="dxa"/>
          </w:tcPr>
          <w:p w14:paraId="38E647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趋势移动平均同比</w:t>
            </w:r>
          </w:p>
        </w:tc>
      </w:tr>
      <w:tr w14:paraId="52BE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1989BE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fig19</w:t>
            </w:r>
          </w:p>
        </w:tc>
        <w:tc>
          <w:tcPr>
            <w:tcW w:w="2280" w:type="dxa"/>
          </w:tcPr>
          <w:p w14:paraId="70CE7F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SARIMA预测_置信区间</w:t>
            </w:r>
          </w:p>
        </w:tc>
        <w:tc>
          <w:tcPr>
            <w:tcW w:w="2280" w:type="dxa"/>
          </w:tcPr>
          <w:p w14:paraId="5A74EC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dashboard</w:t>
            </w:r>
          </w:p>
        </w:tc>
        <w:tc>
          <w:tcPr>
            <w:tcW w:w="2280" w:type="dxa"/>
          </w:tcPr>
          <w:p w14:paraId="151EA2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交互大屏截图</w:t>
            </w:r>
          </w:p>
        </w:tc>
      </w:tr>
    </w:tbl>
    <w:p w14:paraId="1637554F"/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D4637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7D751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A12E1">
    <w:pPr>
      <w:pStyle w:val="24"/>
      <w:tabs>
        <w:tab w:val="center" w:pos="4153"/>
        <w:tab w:val="right" w:pos="8306"/>
        <w:tab w:val="clear" w:pos="4680"/>
        <w:tab w:val="clear" w:pos="9360"/>
      </w:tabs>
      <w:ind w:firstLine="0" w:firstLineChars="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AAE6D">
    <w:pPr>
      <w:pStyle w:val="25"/>
      <w:tabs>
        <w:tab w:val="center" w:pos="4153"/>
        <w:tab w:val="right" w:pos="8306"/>
        <w:tab w:val="clear" w:pos="4680"/>
        <w:tab w:val="clear" w:pos="9360"/>
      </w:tabs>
      <w:spacing w:line="240" w:lineRule="auto"/>
      <w:ind w:firstLine="0" w:firstLineChars="0"/>
    </w:pPr>
    <w:r>
      <w:rPr>
        <w:rFonts w:hint="eastAsia"/>
      </w:rPr>
      <w:t>大数据分析及数据可视化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324D3">
    <w:pPr>
      <w:pStyle w:val="25"/>
      <w:tabs>
        <w:tab w:val="center" w:pos="4153"/>
        <w:tab w:val="right" w:pos="8306"/>
        <w:tab w:val="clear" w:pos="4680"/>
        <w:tab w:val="clear" w:pos="9360"/>
      </w:tabs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F800F">
    <w:pPr>
      <w:pStyle w:val="25"/>
      <w:pBdr>
        <w:bottom w:val="none" w:color="auto" w:sz="0" w:space="0"/>
      </w:pBdr>
      <w:tabs>
        <w:tab w:val="center" w:pos="4153"/>
        <w:tab w:val="right" w:pos="8306"/>
        <w:tab w:val="clear" w:pos="4680"/>
        <w:tab w:val="clear" w:pos="9360"/>
      </w:tabs>
      <w:spacing w:line="240" w:lineRule="auto"/>
      <w:ind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182FD7"/>
    <w:rsid w:val="61E3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8154</Words>
  <Characters>10289</Characters>
  <Lines>0</Lines>
  <Paragraphs>0</Paragraphs>
  <TotalTime>6</TotalTime>
  <ScaleCrop>false</ScaleCrop>
  <LinksUpToDate>false</LinksUpToDate>
  <CharactersWithSpaces>11168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WPS_1649207993</cp:lastModifiedBy>
  <dcterms:modified xsi:type="dcterms:W3CDTF">2026-10-21T09:57:11Z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eyJoZGlkIjoiYzYyNTg1M2I1NzMwMzdmYjdkYTg4M2IyM2EwYjU3YjEiLCJ1c2VySWQiOiIxMzU4NTEwNTczIn0=</vt:lpwstr>
  </property>
  <property fmtid="{D5CDD505-2E9C-101B-9397-08002B2CF9AE}" pid="3" name="KSOProductBuildVer">
    <vt:lpwstr>2052-12.1.0.28505</vt:lpwstr>
  </property>
  <property fmtid="{D5CDD505-2E9C-101B-9397-08002B2CF9AE}" pid="4" name="ICV">
    <vt:lpwstr>427E23B08BF349CA9D4D3CDA003D4B1D_13</vt:lpwstr>
  </property>
</Properties>
</file>