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 – SynapseNext vNext</w:t>
      </w:r>
    </w:p>
    <w:p>
      <w:r>
        <w:t>Data de emissão: 30/10/2025 00:03</w:t>
      </w:r>
    </w:p>
    <w:p>
      <w:r>
        <w:t>Órgão: Secretaria de Administração e Abastecimento – SAAB/TJSP</w:t>
        <w:br/>
      </w:r>
    </w:p>
    <w:p>
      <w:pPr>
        <w:pStyle w:val="Heading2"/>
      </w:pPr>
      <w:r>
        <w:t>Objetivo</w:t>
      </w:r>
    </w:p>
    <w:p>
      <w:pPr>
        <w:spacing w:after="160"/>
        <w:jc w:val="both"/>
      </w:pPr>
      <w:r>
        <w:t>Este é um teste de geração de relatório DOCX no padrão institucional SAAB/TJSP.</w:t>
      </w:r>
    </w:p>
    <w:p>
      <w:pPr>
        <w:pStyle w:val="Heading2"/>
      </w:pPr>
      <w:r>
        <w:t>Diagnóstico</w:t>
      </w:r>
    </w:p>
    <w:p>
      <w:pPr>
        <w:spacing w:after="160"/>
        <w:jc w:val="both"/>
      </w:pPr>
      <w:r>
        <w:t>O módulo formatter_docx.py está operacional e pronto para integração com o restante do sistema.</w:t>
      </w:r>
    </w:p>
    <w:p>
      <w:pPr>
        <w:pStyle w:val="Heading2"/>
      </w:pPr>
      <w:r>
        <w:t>Próximos Passos</w:t>
      </w:r>
    </w:p>
    <w:p>
      <w:pPr>
        <w:pStyle w:val="ListBullet"/>
      </w:pPr>
      <w:r>
        <w:t>• Restaurar módulos restantes da pasta utils/</w:t>
      </w:r>
    </w:p>
    <w:p>
      <w:pPr>
        <w:pStyle w:val="ListBullet"/>
      </w:pPr>
      <w:r>
        <w:t>• Gerar relatório técnico consolidado de homologação</w:t>
      </w:r>
    </w:p>
    <w:p>
      <w:pPr>
        <w:pStyle w:val="ListBullet"/>
      </w:pPr>
      <w:r>
        <w:t>• Executar integração com painéis Streamlit</w:t>
      </w:r>
    </w:p>
    <w:p>
      <w:r>
        <w:br/>
      </w:r>
    </w:p>
    <w:p>
      <w:pPr>
        <w:jc w:val="center"/>
      </w:pPr>
      <w:r>
        <w:rPr>
          <w:b/>
        </w:rPr>
        <w:t>_________________________________________</w:t>
        <w:br/>
      </w:r>
      <w:r>
        <w:rPr>
          <w:i/>
        </w:rPr>
        <w:t>Synapse.Engineer</w:t>
        <w:br/>
        <w:t>Engenheiro Responsável</w:t>
        <w:br/>
        <w:t>SAAB/TJSP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