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Conversão Markdown – SynapseNext vNext</w:t>
        <w:br/>
        <w:t>Secretaria de Administração e Abastecimento – SAAB/TJSP</w:t>
      </w:r>
    </w:p>
    <w:p/>
    <w:p>
      <w:pPr>
        <w:pStyle w:val="Heading1"/>
      </w:pPr>
      <w:r>
        <w:t>Teste Contrato</w:t>
      </w:r>
    </w:p>
    <w:p>
      <w:pPr>
        <w:pStyle w:val="ListBullet"/>
      </w:pPr>
      <w:r>
        <w:t>Cláusula 1: Vigência</w:t>
      </w:r>
    </w:p>
    <w:p>
      <w:pPr>
        <w:pStyle w:val="ListBullet"/>
      </w:pPr>
      <w:r>
        <w:t>Cláusula 2: Garantias</w:t>
      </w:r>
    </w:p>
    <w:p/>
    <w:p>
      <w:pPr>
        <w:jc w:val="center"/>
      </w:pPr>
      <w:r>
        <w:br/>
        <w:br/>
        <w:t>____________________________________</w:t>
        <w:br/>
        <w:t>Gerado via SynapseNext vNext – SAAB/TJSP</w:t>
        <w:br/>
        <w:t>30/10/2025 03:48</w:t>
      </w:r>
    </w:p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