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DF313">
      <w:pPr>
        <w:jc w:val="center"/>
        <w:rPr>
          <w:rFonts w:hint="eastAsia"/>
        </w:rPr>
      </w:pPr>
      <w:r>
        <w:rPr>
          <w:rFonts w:hint="eastAsia"/>
          <w:sz w:val="28"/>
          <w:szCs w:val="28"/>
        </w:rPr>
        <w:t>导读：当机器成为“智能体”——人智协作新范式的提出与展望</w:t>
      </w:r>
    </w:p>
    <w:p w14:paraId="103A27C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所选论文标题：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《</w:t>
      </w:r>
      <w:r>
        <w:rPr>
          <w:rFonts w:hint="eastAsia" w:ascii="仿宋" w:hAnsi="仿宋" w:eastAsia="仿宋" w:cs="仿宋"/>
          <w:sz w:val="24"/>
          <w:szCs w:val="24"/>
        </w:rPr>
        <w:t>当机器成为“智能体”——人智协作新范式的提出与展望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》</w:t>
      </w:r>
    </w:p>
    <w:p w14:paraId="1412A47C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出处（期刊/会议、年份）：南开管理评论、2025-12-08</w:t>
      </w:r>
    </w:p>
    <w:p w14:paraId="5A6AE6F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使用的大模型名称：千问-Qwen3-Max</w:t>
      </w:r>
    </w:p>
    <w:p w14:paraId="643132BA">
      <w:pPr>
        <w:rPr>
          <w:rFonts w:hint="eastAsia"/>
        </w:rPr>
      </w:pPr>
      <w:r>
        <w:rPr>
          <w:rFonts w:hint="eastAsia"/>
          <w:sz w:val="28"/>
          <w:szCs w:val="28"/>
        </w:rPr>
        <w:t>一、研究背景与动机</w:t>
      </w:r>
    </w:p>
    <w:p w14:paraId="08979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近年来，以大语言模型（如ChatGPT）为代表的生成式人工智能迅猛发展，其能力已远超传统自动化工具的范畴。这类AI系统不仅能完成多样化任务，还能在交互中表现出类人的语言理解、推理甚至情感表达能力。这一转变使得人与AI之间的关系不再局限于“使用者—工具”的单向控制模式，而逐渐演变为一种双向、动态且具有社会属</w:t>
      </w:r>
      <w:bookmarkStart w:id="0" w:name="_GoBack"/>
      <w:bookmarkEnd w:id="0"/>
      <w:r>
        <w:rPr>
          <w:rFonts w:hint="eastAsia"/>
          <w:sz w:val="24"/>
          <w:szCs w:val="24"/>
        </w:rPr>
        <w:t>性的协作关系。</w:t>
      </w:r>
    </w:p>
    <w:p w14:paraId="126BA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然而，现有“人机协作”（Human-Machine Collaboration）理论框架多基于工具理性视角，难以充分解释AI作为具备认知与社会智能的“行动者”所引发的新现象。例如，人类会不自觉地对AI产生信任、依赖甚至情感投射；AI的行为也会影响团队决策、组织流程乃至专业身份认同。因此，亟需一个更具解释力和前瞻性的新概念来把握这一范式转移。正是在此背景下，论文提出“人智协作”（Human-AI Agent Collaboration）这一关键概念，旨在为理解未来人与智能体共处共生提供理论基石。</w:t>
      </w:r>
    </w:p>
    <w:p w14:paraId="003306B2">
      <w:pPr>
        <w:jc w:val="center"/>
      </w:pPr>
      <w:r>
        <w:drawing>
          <wp:inline distT="0" distB="0" distL="114300" distR="114300">
            <wp:extent cx="3600450" cy="2303145"/>
            <wp:effectExtent l="0" t="0" r="635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0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D7DB7">
      <w:pPr>
        <w:pStyle w:val="2"/>
        <w:jc w:val="center"/>
        <w:rPr>
          <w:rFonts w:hint="eastAsia" w:eastAsia="黑体"/>
          <w:lang w:val="en-US" w:eastAsia="zh-CN"/>
        </w:rPr>
      </w:pPr>
      <w:r>
        <w:rPr>
          <w:sz w:val="24"/>
          <w:szCs w:val="24"/>
        </w:rPr>
        <w:t xml:space="preserve">图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图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人机协作到人智协作的发展示意</w:t>
      </w:r>
    </w:p>
    <w:p w14:paraId="5A8A773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二、核心方法</w:t>
      </w:r>
    </w:p>
    <w:p w14:paraId="0437B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本文采用理论建构与系统性文献综述相结合的方法。作者首先通过对人工智能技术演进（特别是大模型与智能体的发展）的分析，提炼出新一代AI的三大核心特征：</w:t>
      </w:r>
    </w:p>
    <w:p w14:paraId="3E6D2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泛化实用性：能跨领域、跨任务灵活应对；</w:t>
      </w:r>
    </w:p>
    <w:p w14:paraId="2614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社会自主性：能感知社会线索、参与对话、建立关系；</w:t>
      </w:r>
    </w:p>
    <w:p w14:paraId="2088E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可见不可知性：行为表现高度可观察，但内部决策机制（如神经网络黑箱）难以解释。</w:t>
      </w:r>
    </w:p>
    <w:p w14:paraId="3B0BD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随后，作者批判性回顾了人机交互、组织行为学、社会心理学等领域的相关理论（如活动理论、分布式认知、社会反应理论等），指出其在解释AI社会化行为时的不足。在此基础上，借鉴社会学中的“社会行动者”和“社会认同”理论，正式界定“人智协作”为：</w:t>
      </w:r>
    </w:p>
    <w:p w14:paraId="66F26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“人与人工智能体作为不同社会行动者，基于对彼此动机的认知，将助力对方实现组织任务目标作为自身目标，并适应性调整自身行动以支持对方行动的协作过程。”</w:t>
      </w:r>
    </w:p>
    <w:p w14:paraId="0AB89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最后，论文以“冲击—应对—影响”为逻辑主线，整合多学科实证与理论研究，系统梳理了人智协作的研究脉络。</w:t>
      </w:r>
    </w:p>
    <w:p w14:paraId="15923F8F">
      <w:pPr>
        <w:rPr>
          <w:rFonts w:hint="eastAsia"/>
        </w:rPr>
      </w:pPr>
    </w:p>
    <w:p w14:paraId="5A1B418D">
      <w:pPr>
        <w:pStyle w:val="2"/>
        <w:jc w:val="center"/>
        <w:rPr>
          <w:rFonts w:hint="eastAsia" w:eastAsia="黑体"/>
          <w:sz w:val="24"/>
          <w:szCs w:val="24"/>
          <w:lang w:val="en-US" w:eastAsia="zh-CN"/>
        </w:rPr>
      </w:pPr>
      <w:r>
        <w:rPr>
          <w:sz w:val="24"/>
          <w:szCs w:val="24"/>
        </w:rPr>
        <w:t xml:space="preserve">表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表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理论范式比对</w:t>
      </w:r>
    </w:p>
    <w:tbl>
      <w:tblPr>
        <w:tblStyle w:val="6"/>
        <w:tblW w:w="7919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1372"/>
        <w:gridCol w:w="1109"/>
        <w:gridCol w:w="1781"/>
        <w:gridCol w:w="2904"/>
      </w:tblGrid>
      <w:tr w14:paraId="12AA1D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  <w:jc w:val="center"/>
        </w:trPr>
        <w:tc>
          <w:tcPr>
            <w:tcW w:w="753" w:type="dxa"/>
            <w:vMerge w:val="restart"/>
            <w:tcBorders>
              <w:top w:val="single" w:color="231F20" w:sz="4" w:space="0"/>
              <w:bottom w:val="nil"/>
            </w:tcBorders>
            <w:vAlign w:val="top"/>
          </w:tcPr>
          <w:p w14:paraId="2A42DA68">
            <w:pPr>
              <w:pStyle w:val="5"/>
              <w:spacing w:before="260" w:line="192" w:lineRule="auto"/>
              <w:ind w:left="37" w:right="11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5"/>
                <w:sz w:val="24"/>
                <w:szCs w:val="24"/>
              </w:rPr>
              <w:t>关系范式</w:t>
            </w:r>
          </w:p>
        </w:tc>
        <w:tc>
          <w:tcPr>
            <w:tcW w:w="4262" w:type="dxa"/>
            <w:gridSpan w:val="3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0F4C427E">
            <w:pPr>
              <w:pStyle w:val="5"/>
              <w:spacing w:before="67" w:line="181" w:lineRule="auto"/>
              <w:ind w:left="1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1"/>
                <w:sz w:val="24"/>
                <w:szCs w:val="24"/>
              </w:rPr>
              <w:t>传统理论及概念探讨的关系范式</w:t>
            </w:r>
          </w:p>
        </w:tc>
        <w:tc>
          <w:tcPr>
            <w:tcW w:w="2904" w:type="dxa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0C748795">
            <w:pPr>
              <w:pStyle w:val="5"/>
              <w:spacing w:before="69" w:line="179" w:lineRule="auto"/>
              <w:ind w:left="18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9"/>
                <w:sz w:val="24"/>
                <w:szCs w:val="24"/>
              </w:rPr>
              <w:t>本文探讨的关系范式</w:t>
            </w:r>
          </w:p>
        </w:tc>
      </w:tr>
      <w:tr w14:paraId="41F628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  <w:jc w:val="center"/>
        </w:trPr>
        <w:tc>
          <w:tcPr>
            <w:tcW w:w="753" w:type="dxa"/>
            <w:vMerge w:val="continue"/>
            <w:tcBorders>
              <w:top w:val="nil"/>
              <w:bottom w:val="single" w:color="231F20" w:sz="4" w:space="0"/>
            </w:tcBorders>
            <w:vAlign w:val="top"/>
          </w:tcPr>
          <w:p w14:paraId="4A8DF21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372" w:type="dxa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62E6F234">
            <w:pPr>
              <w:pStyle w:val="5"/>
              <w:spacing w:before="203" w:line="178" w:lineRule="auto"/>
              <w:ind w:left="9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9"/>
                <w:sz w:val="24"/>
                <w:szCs w:val="24"/>
              </w:rPr>
              <w:t>活动理论</w:t>
            </w:r>
          </w:p>
        </w:tc>
        <w:tc>
          <w:tcPr>
            <w:tcW w:w="1109" w:type="dxa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6911408E">
            <w:pPr>
              <w:pStyle w:val="5"/>
              <w:spacing w:before="113" w:line="192" w:lineRule="auto"/>
              <w:ind w:left="192" w:right="101" w:hanging="7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5"/>
                <w:sz w:val="24"/>
                <w:szCs w:val="24"/>
              </w:rPr>
              <w:t>分布式</w:t>
            </w:r>
            <w:r>
              <w:rPr>
                <w:rFonts w:hint="eastAsia" w:ascii="宋体" w:hAnsi="宋体" w:eastAsia="宋体" w:cs="宋体"/>
                <w:color w:val="231F20"/>
                <w:spacing w:val="17"/>
                <w:sz w:val="24"/>
                <w:szCs w:val="24"/>
              </w:rPr>
              <w:t>认知</w:t>
            </w:r>
          </w:p>
        </w:tc>
        <w:tc>
          <w:tcPr>
            <w:tcW w:w="1781" w:type="dxa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2B05370F">
            <w:pPr>
              <w:pStyle w:val="5"/>
              <w:spacing w:before="23" w:line="165" w:lineRule="auto"/>
              <w:ind w:left="111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2"/>
                <w:sz w:val="24"/>
                <w:szCs w:val="24"/>
              </w:rPr>
              <w:t>人—智能体团</w:t>
            </w:r>
          </w:p>
          <w:p w14:paraId="5F84DBDC">
            <w:pPr>
              <w:pStyle w:val="5"/>
              <w:spacing w:line="194" w:lineRule="auto"/>
              <w:ind w:left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7"/>
                <w:sz w:val="24"/>
                <w:szCs w:val="24"/>
              </w:rPr>
              <w:t>队/人—自主系</w:t>
            </w:r>
            <w:r>
              <w:rPr>
                <w:rFonts w:hint="eastAsia" w:ascii="宋体" w:hAnsi="宋体" w:eastAsia="宋体" w:cs="宋体"/>
                <w:color w:val="231F20"/>
                <w:spacing w:val="18"/>
                <w:position w:val="-1"/>
                <w:sz w:val="24"/>
                <w:szCs w:val="24"/>
              </w:rPr>
              <w:t>统团队</w:t>
            </w:r>
          </w:p>
        </w:tc>
        <w:tc>
          <w:tcPr>
            <w:tcW w:w="2904" w:type="dxa"/>
            <w:tcBorders>
              <w:top w:val="single" w:color="231F20" w:sz="4" w:space="0"/>
              <w:bottom w:val="single" w:color="231F20" w:sz="4" w:space="0"/>
            </w:tcBorders>
            <w:vAlign w:val="top"/>
          </w:tcPr>
          <w:p w14:paraId="6CE7F99D">
            <w:pPr>
              <w:pStyle w:val="5"/>
              <w:spacing w:before="203" w:line="179" w:lineRule="auto"/>
              <w:ind w:left="589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6"/>
                <w:sz w:val="24"/>
                <w:szCs w:val="24"/>
              </w:rPr>
              <w:t>人智协作</w:t>
            </w:r>
          </w:p>
        </w:tc>
      </w:tr>
      <w:tr w14:paraId="373E29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8" w:hRule="atLeast"/>
          <w:jc w:val="center"/>
        </w:trPr>
        <w:tc>
          <w:tcPr>
            <w:tcW w:w="753" w:type="dxa"/>
            <w:tcBorders>
              <w:top w:val="single" w:color="231F20" w:sz="4" w:space="0"/>
              <w:bottom w:val="single" w:color="231F20" w:sz="2" w:space="0"/>
            </w:tcBorders>
            <w:vAlign w:val="top"/>
          </w:tcPr>
          <w:p w14:paraId="66323D70">
            <w:pPr>
              <w:pStyle w:val="5"/>
              <w:spacing w:before="224" w:line="221" w:lineRule="auto"/>
              <w:ind w:left="33" w:right="5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涉及机</w:t>
            </w:r>
            <w:r>
              <w:rPr>
                <w:rFonts w:hint="eastAsia" w:ascii="宋体" w:hAnsi="宋体" w:eastAsia="宋体" w:cs="宋体"/>
                <w:color w:val="231F20"/>
                <w:spacing w:val="5"/>
                <w:sz w:val="24"/>
                <w:szCs w:val="24"/>
              </w:rPr>
              <w:t>器类别</w:t>
            </w:r>
          </w:p>
        </w:tc>
        <w:tc>
          <w:tcPr>
            <w:tcW w:w="2481" w:type="dxa"/>
            <w:gridSpan w:val="2"/>
            <w:tcBorders>
              <w:top w:val="single" w:color="231F20" w:sz="4" w:space="0"/>
              <w:bottom w:val="single" w:color="231F20" w:sz="2" w:space="0"/>
            </w:tcBorders>
            <w:vAlign w:val="top"/>
          </w:tcPr>
          <w:p w14:paraId="6015882C">
            <w:pPr>
              <w:spacing w:line="261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AF93DA6">
            <w:pPr>
              <w:pStyle w:val="5"/>
              <w:spacing w:before="52" w:line="180" w:lineRule="auto"/>
              <w:ind w:left="16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>人工制品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>人工制品</w:t>
            </w:r>
          </w:p>
        </w:tc>
        <w:tc>
          <w:tcPr>
            <w:tcW w:w="1781" w:type="dxa"/>
            <w:tcBorders>
              <w:top w:val="single" w:color="231F20" w:sz="4" w:space="0"/>
              <w:bottom w:val="single" w:color="231F20" w:sz="2" w:space="0"/>
            </w:tcBorders>
            <w:vAlign w:val="top"/>
          </w:tcPr>
          <w:p w14:paraId="08F7C11A">
            <w:pPr>
              <w:pStyle w:val="5"/>
              <w:spacing w:before="43" w:line="181" w:lineRule="auto"/>
              <w:ind w:left="8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具备自主性、感知</w:t>
            </w:r>
            <w:r>
              <w:rPr>
                <w:rFonts w:hint="eastAsia" w:ascii="宋体" w:hAnsi="宋体" w:eastAsia="宋体" w:cs="宋体"/>
                <w:color w:val="231F20"/>
                <w:spacing w:val="5"/>
                <w:sz w:val="24"/>
                <w:szCs w:val="24"/>
              </w:rPr>
              <w:t>和行动能力等特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>征的智能体 /</w:t>
            </w:r>
            <w:r>
              <w:rPr>
                <w:rFonts w:hint="eastAsia" w:ascii="宋体" w:hAnsi="宋体" w:eastAsia="宋体" w:cs="宋体"/>
                <w:color w:val="231F20"/>
                <w:spacing w:val="23"/>
                <w:w w:val="102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>自主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系统</w:t>
            </w:r>
          </w:p>
        </w:tc>
        <w:tc>
          <w:tcPr>
            <w:tcW w:w="2904" w:type="dxa"/>
            <w:tcBorders>
              <w:top w:val="single" w:color="231F20" w:sz="4" w:space="0"/>
              <w:bottom w:val="single" w:color="231F20" w:sz="2" w:space="0"/>
            </w:tcBorders>
            <w:vAlign w:val="top"/>
          </w:tcPr>
          <w:p w14:paraId="03CF81EB">
            <w:pPr>
              <w:pStyle w:val="5"/>
              <w:spacing w:before="41" w:line="202" w:lineRule="auto"/>
              <w:ind w:left="42" w:right="29" w:firstLine="3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具有个体认知及社会交互能力，</w:t>
            </w: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可以在高度随机的世界中实现推理与行动，能够与其他智能实体协调、竞争与协作的人工智能体</w:t>
            </w:r>
          </w:p>
        </w:tc>
      </w:tr>
      <w:tr w14:paraId="445CE4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6" w:hRule="atLeast"/>
          <w:jc w:val="center"/>
        </w:trPr>
        <w:tc>
          <w:tcPr>
            <w:tcW w:w="753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64E67BE9">
            <w:pPr>
              <w:pStyle w:val="5"/>
              <w:spacing w:before="214" w:line="222" w:lineRule="auto"/>
              <w:ind w:left="32" w:right="186" w:firstLine="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关系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>描述</w:t>
            </w:r>
          </w:p>
        </w:tc>
        <w:tc>
          <w:tcPr>
            <w:tcW w:w="1372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1731BBBE">
            <w:pPr>
              <w:pStyle w:val="5"/>
              <w:spacing w:before="33" w:line="181" w:lineRule="auto"/>
              <w:ind w:left="43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计算机等人工</w:t>
            </w:r>
          </w:p>
          <w:p w14:paraId="381DF02F">
            <w:pPr>
              <w:pStyle w:val="5"/>
              <w:spacing w:before="25" w:line="180" w:lineRule="auto"/>
              <w:ind w:left="98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5"/>
                <w:sz w:val="24"/>
                <w:szCs w:val="24"/>
              </w:rPr>
              <w:t>制品是人类</w:t>
            </w:r>
          </w:p>
          <w:p w14:paraId="5B0C87D5">
            <w:pPr>
              <w:pStyle w:val="5"/>
              <w:spacing w:before="25" w:line="181" w:lineRule="auto"/>
              <w:ind w:left="3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5"/>
                <w:sz w:val="24"/>
                <w:szCs w:val="24"/>
              </w:rPr>
              <w:t>思想塑造外部</w:t>
            </w:r>
            <w:r>
              <w:rPr>
                <w:rFonts w:hint="eastAsia" w:ascii="宋体" w:hAnsi="宋体" w:eastAsia="宋体" w:cs="宋体"/>
                <w:color w:val="231F20"/>
                <w:spacing w:val="4"/>
                <w:position w:val="1"/>
                <w:sz w:val="24"/>
                <w:szCs w:val="24"/>
              </w:rPr>
              <w:t>活动的中介</w:t>
            </w:r>
          </w:p>
        </w:tc>
        <w:tc>
          <w:tcPr>
            <w:tcW w:w="1109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45DEFFB4">
            <w:pPr>
              <w:pStyle w:val="5"/>
              <w:spacing w:before="124" w:line="209" w:lineRule="auto"/>
              <w:ind w:left="43" w:right="23" w:firstLine="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人与人工制</w:t>
            </w:r>
            <w:r>
              <w:rPr>
                <w:rFonts w:hint="eastAsia" w:ascii="宋体" w:hAnsi="宋体" w:eastAsia="宋体" w:cs="宋体"/>
                <w:color w:val="231F20"/>
                <w:spacing w:val="3"/>
                <w:sz w:val="24"/>
                <w:szCs w:val="24"/>
              </w:rPr>
              <w:t>品是概念上</w:t>
            </w:r>
            <w:r>
              <w:rPr>
                <w:rFonts w:hint="eastAsia" w:ascii="宋体" w:hAnsi="宋体" w:eastAsia="宋体" w:cs="宋体"/>
                <w:color w:val="231F20"/>
                <w:spacing w:val="4"/>
                <w:sz w:val="24"/>
                <w:szCs w:val="24"/>
              </w:rPr>
              <w:t>对等的节点</w:t>
            </w:r>
          </w:p>
        </w:tc>
        <w:tc>
          <w:tcPr>
            <w:tcW w:w="1781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7D2BB6A5">
            <w:pPr>
              <w:pStyle w:val="5"/>
              <w:spacing w:before="213" w:line="221" w:lineRule="auto"/>
              <w:ind w:left="269" w:right="31" w:hanging="186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实现共同目标的团队成员关系</w:t>
            </w:r>
          </w:p>
        </w:tc>
        <w:tc>
          <w:tcPr>
            <w:tcW w:w="2904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031AE1E0">
            <w:pPr>
              <w:pStyle w:val="5"/>
              <w:spacing w:before="213" w:line="181" w:lineRule="auto"/>
              <w:ind w:left="152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4"/>
                <w:sz w:val="24"/>
                <w:szCs w:val="24"/>
              </w:rPr>
              <w:t>不同社会群体间的协调协作</w:t>
            </w:r>
            <w:r>
              <w:rPr>
                <w:rFonts w:hint="eastAsia" w:ascii="宋体" w:hAnsi="宋体" w:eastAsia="宋体" w:cs="宋体"/>
                <w:color w:val="231F20"/>
                <w:sz w:val="24"/>
                <w:szCs w:val="24"/>
              </w:rPr>
              <w:t>关系</w:t>
            </w:r>
          </w:p>
        </w:tc>
      </w:tr>
      <w:tr w14:paraId="6A9314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  <w:jc w:val="center"/>
        </w:trPr>
        <w:tc>
          <w:tcPr>
            <w:tcW w:w="753" w:type="dxa"/>
            <w:tcBorders>
              <w:top w:val="single" w:color="231F20" w:sz="2" w:space="0"/>
              <w:bottom w:val="single" w:color="231F20" w:sz="4" w:space="0"/>
            </w:tcBorders>
            <w:vAlign w:val="top"/>
          </w:tcPr>
          <w:p w14:paraId="2D36E58E">
            <w:pPr>
              <w:pStyle w:val="5"/>
              <w:spacing w:before="40" w:line="177" w:lineRule="auto"/>
              <w:ind w:left="3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1"/>
                <w:sz w:val="24"/>
                <w:szCs w:val="24"/>
              </w:rPr>
              <w:t>强调</w:t>
            </w:r>
          </w:p>
          <w:p w14:paraId="7ECBCF61">
            <w:pPr>
              <w:pStyle w:val="5"/>
              <w:spacing w:before="24" w:line="157" w:lineRule="auto"/>
              <w:ind w:left="34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视角</w:t>
            </w:r>
          </w:p>
        </w:tc>
        <w:tc>
          <w:tcPr>
            <w:tcW w:w="4262" w:type="dxa"/>
            <w:gridSpan w:val="3"/>
            <w:tcBorders>
              <w:top w:val="single" w:color="231F20" w:sz="2" w:space="0"/>
              <w:bottom w:val="single" w:color="231F20" w:sz="4" w:space="0"/>
            </w:tcBorders>
            <w:vAlign w:val="top"/>
          </w:tcPr>
          <w:p w14:paraId="00F3AE79">
            <w:pPr>
              <w:pStyle w:val="5"/>
              <w:spacing w:before="126" w:line="181" w:lineRule="auto"/>
              <w:ind w:left="16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2"/>
                <w:sz w:val="24"/>
                <w:szCs w:val="24"/>
              </w:rPr>
              <w:t>工具视角        系统视角           团队视角</w:t>
            </w:r>
          </w:p>
        </w:tc>
        <w:tc>
          <w:tcPr>
            <w:tcW w:w="2904" w:type="dxa"/>
            <w:tcBorders>
              <w:top w:val="single" w:color="231F20" w:sz="2" w:space="0"/>
              <w:bottom w:val="single" w:color="231F20" w:sz="4" w:space="0"/>
            </w:tcBorders>
            <w:vAlign w:val="top"/>
          </w:tcPr>
          <w:p w14:paraId="13974CDC">
            <w:pPr>
              <w:pStyle w:val="5"/>
              <w:spacing w:before="126" w:line="182" w:lineRule="auto"/>
              <w:ind w:left="65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31F20"/>
                <w:spacing w:val="4"/>
                <w:sz w:val="24"/>
                <w:szCs w:val="24"/>
              </w:rPr>
              <w:t>社会视角</w:t>
            </w:r>
          </w:p>
        </w:tc>
      </w:tr>
    </w:tbl>
    <w:p w14:paraId="5D5C19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三、主要结果</w:t>
      </w:r>
    </w:p>
    <w:p w14:paraId="1BED5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论文的主要贡献体现在以下三个方面：</w:t>
      </w:r>
    </w:p>
    <w:p w14:paraId="0139E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概念创新：明确提出“人智协作”概念，强调从社会性、目的性和互惠性角度重构人与AI的关系，超越了传统工具论视角。</w:t>
      </w:r>
    </w:p>
    <w:p w14:paraId="4DF17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理论整合：构建了一个跨学科的分析框架，揭示了AI社会化特征如何重塑协作动力学，并识别出关键研究缺口。</w:t>
      </w:r>
    </w:p>
    <w:p w14:paraId="112CD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未来议程：凝练出三大具有战略意义的研究方向：</w:t>
      </w:r>
    </w:p>
    <w:p w14:paraId="2FA64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分层建模：建立涵盖心理（信任、归因）、行为（沟通、协调）、系统（角色分配、流程设计）的多层次协作模型；</w:t>
      </w:r>
    </w:p>
    <w:p w14:paraId="1DC41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组织演化：探究人智协作如何驱动组织结构、知识管理、权力分配的深层变革；</w:t>
      </w:r>
    </w:p>
    <w:p w14:paraId="3D881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本土化理论构建：呼吁立足中国情境，关注银发经济、区域协调发展、绿色转型等国家战略需求，发展安全、可控、包容的人智协作理论体系。</w:t>
      </w:r>
    </w:p>
    <w:p w14:paraId="327C53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四、个人小结</w:t>
      </w:r>
    </w:p>
    <w:p w14:paraId="17DDA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篇论文不仅是一次及时的理论回应，更是一份面向未来的行动倡议。它清晰地指出：我们正站在从“使用机器”迈向“与智能体共事”的历史拐点。面对这一转变，技术开发者、管理者、政策制定者乃至普通用户都需要更新认知框架。</w:t>
      </w:r>
    </w:p>
    <w:p w14:paraId="0FE95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尤为值得肯定的是，作者没有停留在抽象讨论，而是将学术思考与中国式现代化进程紧密结合，强调理论构建必须服务于国家重大战略需求。这种问题导向与本土关怀，使得“人智协作”不仅是一个学术概念，更可能成为推动高质量发展、促进人机和谐共生的重要思想资源。对于希望深入理解AI社会影响的研究者与实践者而言，此文无疑提供了极具价值的起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F0C53"/>
    <w:rsid w:val="12547F16"/>
    <w:rsid w:val="24B0569C"/>
    <w:rsid w:val="3EFB6EE5"/>
    <w:rsid w:val="5EAE7678"/>
    <w:rsid w:val="60743F67"/>
    <w:rsid w:val="6C3A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2"/>
      <w:szCs w:val="12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1613</Words>
  <Characters>1676</Characters>
  <Lines>0</Lines>
  <Paragraphs>0</Paragraphs>
  <TotalTime>4</TotalTime>
  <ScaleCrop>false</ScaleCrop>
  <LinksUpToDate>false</LinksUpToDate>
  <CharactersWithSpaces>1712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2026-03-17T08:20:00Z</dcterms:created>
  <dc:creator>32414</dc:creator>
  <cp:lastModifiedBy>32414</cp:lastModifiedBy>
  <dcterms:modified xsi:type="dcterms:W3CDTF">2026-03-17T08:49:51Z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eyJoZGlkIjoiNjkxYTE2YjJjZTMzZGNkY2ZkZTRhZWIxMzQwYWYzOTkiLCJ1c2VySWQiOiI2MzE1NTEyNTEifQ==</vt:lpwstr>
  </property>
  <property fmtid="{D5CDD505-2E9C-101B-9397-08002B2CF9AE}" pid="4" name="ICV">
    <vt:lpwstr>EB1760437BFC459B998EF801D39B7BA2_12</vt:lpwstr>
  </property>
</Properties>
</file>