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OCS Study Abroad Data Analytics Platform</w:t>
      </w:r>
    </w:p>
    <w:p>
      <w:pPr>
        <w:jc w:val="center"/>
      </w:pPr>
      <w:r>
        <w:rPr>
          <w:b/>
          <w:color w:val="667EEA"/>
          <w:sz w:val="28"/>
        </w:rPr>
        <w:t>Interactive Visualization Dashboard - Ready for Publication</w:t>
      </w:r>
    </w:p>
    <w:p>
      <w:pPr>
        <w:jc w:val="center"/>
      </w:pPr>
      <w:r>
        <w:rPr>
          <w:sz w:val="22"/>
        </w:rPr>
        <w:t>Date: December 06, 2025</w:t>
      </w:r>
    </w:p>
    <w:p/>
    <w:p>
      <w:pPr>
        <w:pStyle w:val="Heading1"/>
      </w:pPr>
      <w:r>
        <w:t>Overview</w:t>
      </w:r>
    </w:p>
    <w:p>
      <w:pPr>
        <w:spacing w:line="276" w:lineRule="auto"/>
      </w:pPr>
      <w:r>
        <w:t>I am pleased to announce that the OCS Study Abroad data analytics platform is now complete and ready for publication. This comprehensive dashboard provides interactive visualizations of 25 years of study abroad participation data (1999-2028), offering valuable insights for strategic planning, student advising, and program development.</w:t>
      </w:r>
    </w:p>
    <w:p>
      <w:pPr>
        <w:pStyle w:val="Heading1"/>
      </w:pPr>
      <w:r>
        <w:t>Key Features &amp; Deliverables</w:t>
      </w:r>
    </w:p>
    <w:p>
      <w:pPr>
        <w:pStyle w:val="ListBullet"/>
        <w:spacing w:line="276" w:lineRule="auto" w:after="120"/>
      </w:pPr>
      <w:r>
        <w:t>Interactive Dashboard with 9 comprehensive visualizations covering 9,104 student participation records</w:t>
      </w:r>
    </w:p>
    <w:p>
      <w:pPr>
        <w:pStyle w:val="ListBullet"/>
        <w:spacing w:line="276" w:lineRule="auto" w:after="120"/>
      </w:pPr>
      <w:r>
        <w:t>Top 20 Most Popular Programs analysis across multiple time periods (5, 10, 15, and 20 years)</w:t>
      </w:r>
    </w:p>
    <w:p>
      <w:pPr>
        <w:pStyle w:val="ListBullet"/>
        <w:spacing w:line="276" w:lineRule="auto" w:after="120"/>
      </w:pPr>
      <w:r>
        <w:t>Top 20 Study Abroad Destinations showing geographic distribution and trends</w:t>
      </w:r>
    </w:p>
    <w:p>
      <w:pPr>
        <w:pStyle w:val="ListBullet"/>
        <w:spacing w:line="276" w:lineRule="auto" w:after="120"/>
      </w:pPr>
      <w:r>
        <w:t>Major-Specific Destination Analysis helping students choose programs aligned with their academic goals</w:t>
      </w:r>
    </w:p>
    <w:p>
      <w:pPr>
        <w:pStyle w:val="ListBullet"/>
        <w:spacing w:line="276" w:lineRule="auto" w:after="120"/>
      </w:pPr>
      <w:r>
        <w:t>Semester Participation Trends revealing historical patterns and peak periods</w:t>
      </w:r>
    </w:p>
    <w:p>
      <w:pPr>
        <w:pStyle w:val="ListBullet"/>
        <w:spacing w:line="276" w:lineRule="auto" w:after="120"/>
      </w:pPr>
      <w:r>
        <w:t>Fully interactive charts with zoom, filter, and download capabilities</w:t>
      </w:r>
    </w:p>
    <w:p>
      <w:pPr>
        <w:pStyle w:val="ListBullet"/>
        <w:spacing w:line="276" w:lineRule="auto" w:after="120"/>
      </w:pPr>
      <w:r>
        <w:t>Professional styling and responsive design for all devices</w:t>
      </w:r>
    </w:p>
    <w:p>
      <w:pPr>
        <w:pStyle w:val="ListBullet"/>
        <w:spacing w:line="276" w:lineRule="auto" w:after="120"/>
      </w:pPr>
      <w:r>
        <w:t>Automated deployment system for easy updates</w:t>
      </w:r>
    </w:p>
    <w:p>
      <w:pPr>
        <w:pStyle w:val="Heading1"/>
      </w:pPr>
      <w:r>
        <w:t>Data Highlights</w:t>
      </w:r>
    </w:p>
    <w:p>
      <w:pPr>
        <w:spacing w:line="276" w:lineRule="auto"/>
      </w:pPr>
      <w:r>
        <w:t>The analysis reveals several key insights from our comprehensive dataset:</w:t>
      </w:r>
    </w:p>
    <w:tbl>
      <w:tblPr>
        <w:tblStyle w:val="LightGrid-Accent1"/>
        <w:tblW w:type="auto" w:w="0"/>
        <w:tblLook w:firstColumn="1" w:firstRow="1" w:lastColumn="0" w:lastRow="0" w:noHBand="0" w:noVBand="1" w:val="04A0"/>
      </w:tblPr>
      <w:tblGrid>
        <w:gridCol w:w="4680"/>
        <w:gridCol w:w="4680"/>
      </w:tblGrid>
      <w:tr>
        <w:tc>
          <w:tcPr>
            <w:tcW w:type="dxa" w:w="4680"/>
          </w:tcPr>
          <w:p>
            <w:r>
              <w:rPr>
                <w:b/>
              </w:rPr>
              <w:t>Total Participation Records</w:t>
            </w:r>
          </w:p>
        </w:tc>
        <w:tc>
          <w:tcPr>
            <w:tcW w:type="dxa" w:w="4680"/>
          </w:tcPr>
          <w:p>
            <w:r>
              <w:t>9,104 students</w:t>
            </w:r>
          </w:p>
        </w:tc>
      </w:tr>
      <w:tr>
        <w:tc>
          <w:tcPr>
            <w:tcW w:type="dxa" w:w="4680"/>
          </w:tcPr>
          <w:p>
            <w:r>
              <w:rPr>
                <w:b/>
              </w:rPr>
              <w:t>Date Range</w:t>
            </w:r>
          </w:p>
        </w:tc>
        <w:tc>
          <w:tcPr>
            <w:tcW w:type="dxa" w:w="4680"/>
          </w:tcPr>
          <w:p>
            <w:r>
              <w:t>1999 - 2028</w:t>
            </w:r>
          </w:p>
        </w:tc>
      </w:tr>
      <w:tr>
        <w:tc>
          <w:tcPr>
            <w:tcW w:type="dxa" w:w="4680"/>
          </w:tcPr>
          <w:p>
            <w:r>
              <w:rPr>
                <w:b/>
              </w:rPr>
              <w:t>Unique Programs</w:t>
            </w:r>
          </w:p>
        </w:tc>
        <w:tc>
          <w:tcPr>
            <w:tcW w:type="dxa" w:w="4680"/>
          </w:tcPr>
          <w:p>
            <w:r>
              <w:t>673</w:t>
            </w:r>
          </w:p>
        </w:tc>
      </w:tr>
      <w:tr>
        <w:tc>
          <w:tcPr>
            <w:tcW w:type="dxa" w:w="4680"/>
          </w:tcPr>
          <w:p>
            <w:r>
              <w:rPr>
                <w:b/>
              </w:rPr>
              <w:t>Countries Represented</w:t>
            </w:r>
          </w:p>
        </w:tc>
        <w:tc>
          <w:tcPr>
            <w:tcW w:type="dxa" w:w="4680"/>
          </w:tcPr>
          <w:p>
            <w:r>
              <w:t>74</w:t>
            </w:r>
          </w:p>
        </w:tc>
      </w:tr>
      <w:tr>
        <w:tc>
          <w:tcPr>
            <w:tcW w:type="dxa" w:w="4680"/>
          </w:tcPr>
          <w:p>
            <w:r>
              <w:rPr>
                <w:b/>
              </w:rPr>
              <w:t>Academic Majors</w:t>
            </w:r>
          </w:p>
        </w:tc>
        <w:tc>
          <w:tcPr>
            <w:tcW w:type="dxa" w:w="4680"/>
          </w:tcPr>
          <w:p>
            <w:r>
              <w:t>73</w:t>
            </w:r>
          </w:p>
        </w:tc>
      </w:tr>
      <w:tr>
        <w:tc>
          <w:tcPr>
            <w:tcW w:type="dxa" w:w="4680"/>
          </w:tcPr>
          <w:p>
            <w:r>
              <w:rPr>
                <w:b/>
              </w:rPr>
              <w:t>Top Destination</w:t>
            </w:r>
          </w:p>
        </w:tc>
        <w:tc>
          <w:tcPr>
            <w:tcW w:type="dxa" w:w="4680"/>
          </w:tcPr>
          <w:p>
            <w:r>
              <w:t>England (306 participants)</w:t>
            </w:r>
          </w:p>
        </w:tc>
      </w:tr>
    </w:tbl>
    <w:p/>
    <w:p>
      <w:pPr>
        <w:pStyle w:val="Heading2"/>
      </w:pPr>
      <w:r>
        <w:t>Top 5 Study Abroad Programs</w:t>
      </w:r>
    </w:p>
    <w:p>
      <w:pPr>
        <w:pStyle w:val="ListNumber"/>
        <w:spacing w:line="276" w:lineRule="auto"/>
      </w:pPr>
      <w:r>
        <w:t>IES (137 participants)</w:t>
      </w:r>
    </w:p>
    <w:p>
      <w:pPr>
        <w:pStyle w:val="ListNumber"/>
        <w:spacing w:line="276" w:lineRule="auto"/>
      </w:pPr>
      <w:r>
        <w:t>Chamber Symphony Tour (125 participants)</w:t>
      </w:r>
    </w:p>
    <w:p>
      <w:pPr>
        <w:pStyle w:val="ListNumber"/>
        <w:spacing w:line="276" w:lineRule="auto"/>
      </w:pPr>
      <w:r>
        <w:t>Servicio (118 participants)</w:t>
      </w:r>
    </w:p>
    <w:p>
      <w:pPr>
        <w:pStyle w:val="ListNumber"/>
        <w:spacing w:line="276" w:lineRule="auto"/>
      </w:pPr>
      <w:r>
        <w:t>Life After Mandela (97 participants)</w:t>
      </w:r>
    </w:p>
    <w:p>
      <w:pPr>
        <w:pStyle w:val="ListNumber"/>
        <w:spacing w:line="276" w:lineRule="auto"/>
      </w:pPr>
      <w:r>
        <w:t>CIEE (86 participants)</w:t>
      </w:r>
    </w:p>
    <w:p>
      <w:pPr>
        <w:pStyle w:val="Heading2"/>
      </w:pPr>
      <w:r>
        <w:t>Top 5 Participating Majors</w:t>
      </w:r>
    </w:p>
    <w:p>
      <w:pPr>
        <w:pStyle w:val="ListNumber"/>
        <w:spacing w:line="276" w:lineRule="auto"/>
      </w:pPr>
      <w:r>
        <w:t>Communication (1,158 participants)</w:t>
      </w:r>
    </w:p>
    <w:p>
      <w:pPr>
        <w:pStyle w:val="ListNumber"/>
        <w:spacing w:line="276" w:lineRule="auto"/>
      </w:pPr>
      <w:r>
        <w:t>English (999 participants)</w:t>
      </w:r>
    </w:p>
    <w:p>
      <w:pPr>
        <w:pStyle w:val="ListNumber"/>
        <w:spacing w:line="276" w:lineRule="auto"/>
      </w:pPr>
      <w:r>
        <w:t>Economics (873 participants)</w:t>
      </w:r>
    </w:p>
    <w:p>
      <w:pPr>
        <w:pStyle w:val="ListNumber"/>
        <w:spacing w:line="276" w:lineRule="auto"/>
      </w:pPr>
      <w:r>
        <w:t>Psychology (494 participants)</w:t>
      </w:r>
    </w:p>
    <w:p>
      <w:pPr>
        <w:pStyle w:val="ListNumber"/>
        <w:spacing w:line="276" w:lineRule="auto"/>
      </w:pPr>
      <w:r>
        <w:t>Political Science (477 participants)</w:t>
      </w:r>
    </w:p>
    <w:p>
      <w:pPr>
        <w:pStyle w:val="Heading1"/>
      </w:pPr>
      <w:r>
        <w:t>Technical Implementation</w:t>
      </w:r>
    </w:p>
    <w:p>
      <w:pPr>
        <w:spacing w:line="276" w:lineRule="auto"/>
      </w:pPr>
      <w:r>
        <w:t>The platform has been developed using industry-standard data visualization tools (Plotly) and is configured for immediate deployment via GitHub Pages. All visualizations are interactive, allowing users to zoom, filter, and explore data dynamically. The system includes automated deployment workflows for seamless updates as new data becomes available.</w:t>
      </w:r>
    </w:p>
    <w:p>
      <w:pPr>
        <w:pStyle w:val="Heading1"/>
      </w:pPr>
      <w:r>
        <w:t>Publication &amp; Access Options</w:t>
      </w:r>
    </w:p>
    <w:p>
      <w:pPr>
        <w:spacing w:line="276" w:lineRule="auto"/>
      </w:pPr>
      <w:r>
        <w:t>The dashboard is ready for publication with multiple deployment options:</w:t>
      </w:r>
    </w:p>
    <w:p>
      <w:pPr>
        <w:pStyle w:val="ListBullet"/>
        <w:spacing w:line="276" w:lineRule="auto"/>
      </w:pPr>
      <w:r>
        <w:t>GitHub Pages (Recommended): Free hosting with automatic updates</w:t>
      </w:r>
    </w:p>
    <w:p>
      <w:pPr>
        <w:pStyle w:val="ListBullet"/>
        <w:spacing w:line="276" w:lineRule="auto"/>
      </w:pPr>
      <w:r>
        <w:t>Custom University Domain: Can be integrated with DePauw's existing web infrastructure</w:t>
      </w:r>
    </w:p>
    <w:p>
      <w:pPr>
        <w:pStyle w:val="ListBullet"/>
        <w:spacing w:line="276" w:lineRule="auto"/>
      </w:pPr>
      <w:r>
        <w:t>Password Protection: Available via Netlify if restricted access is preferred</w:t>
      </w:r>
    </w:p>
    <w:p>
      <w:pPr>
        <w:pStyle w:val="ListBullet"/>
        <w:spacing w:line="276" w:lineRule="auto"/>
      </w:pPr>
      <w:r>
        <w:t>Public Access: Immediate availability for students, faculty, and prospective students</w:t>
      </w:r>
    </w:p>
    <w:p>
      <w:pPr>
        <w:pStyle w:val="Heading1"/>
      </w:pPr>
      <w:r>
        <w:t>Repository Information</w:t>
      </w:r>
    </w:p>
    <w:p>
      <w:pPr>
        <w:spacing w:line="276" w:lineRule="auto"/>
      </w:pPr>
      <w:r>
        <w:rPr>
          <w:b/>
        </w:rPr>
        <w:t xml:space="preserve">GitHub Repository: </w:t>
      </w:r>
      <w:r>
        <w:t>https://github.com/cdoan2026/OCS-Study</w:t>
        <w:br/>
      </w:r>
      <w:r>
        <w:rPr>
          <w:b/>
        </w:rPr>
        <w:t xml:space="preserve">Live Dashboard URL (once enabled): </w:t>
      </w:r>
      <w:r>
        <w:t>https://cdoan2026.github.io/OCS-Study/</w:t>
        <w:br/>
      </w:r>
      <w:r>
        <w:rPr>
          <w:b/>
        </w:rPr>
        <w:t xml:space="preserve">Documentation: </w:t>
      </w:r>
      <w:r>
        <w:t>Complete deployment guide included in repository</w:t>
      </w:r>
    </w:p>
    <w:p>
      <w:pPr>
        <w:pStyle w:val="Heading1"/>
      </w:pPr>
      <w:r>
        <w:t>Recommended Next Steps</w:t>
      </w:r>
    </w:p>
    <w:p>
      <w:pPr>
        <w:pStyle w:val="ListNumber"/>
        <w:spacing w:line="276" w:lineRule="auto"/>
      </w:pPr>
      <w:r>
        <w:t>Review the interactive visualizations and dashboard design</w:t>
      </w:r>
    </w:p>
    <w:p>
      <w:pPr>
        <w:pStyle w:val="ListNumber"/>
        <w:spacing w:line="276" w:lineRule="auto"/>
      </w:pPr>
      <w:r>
        <w:t>Determine preferred hosting option (GitHub Pages, university server, or alternative)</w:t>
      </w:r>
    </w:p>
    <w:p>
      <w:pPr>
        <w:pStyle w:val="ListNumber"/>
        <w:spacing w:line="276" w:lineRule="auto"/>
      </w:pPr>
      <w:r>
        <w:t>Decide on access level (public vs. restricted)</w:t>
      </w:r>
    </w:p>
    <w:p>
      <w:pPr>
        <w:pStyle w:val="ListNumber"/>
        <w:spacing w:line="276" w:lineRule="auto"/>
      </w:pPr>
      <w:r>
        <w:t>Approve for publication and set go-live date</w:t>
      </w:r>
    </w:p>
    <w:p>
      <w:pPr>
        <w:pStyle w:val="ListNumber"/>
        <w:spacing w:line="276" w:lineRule="auto"/>
      </w:pPr>
      <w:r>
        <w:t>Plan communication strategy to students and faculty about the new resource</w:t>
      </w:r>
    </w:p>
    <w:p>
      <w:pPr>
        <w:pStyle w:val="Heading1"/>
      </w:pPr>
      <w:r>
        <w:t>Potential Use Cases</w:t>
      </w:r>
    </w:p>
    <w:p>
      <w:pPr>
        <w:pStyle w:val="ListBullet"/>
        <w:spacing w:line="276" w:lineRule="auto"/>
      </w:pPr>
      <w:r>
        <w:t>Student Advising: Help students explore study abroad options based on their major and interests</w:t>
      </w:r>
    </w:p>
    <w:p>
      <w:pPr>
        <w:pStyle w:val="ListBullet"/>
        <w:spacing w:line="276" w:lineRule="auto"/>
      </w:pPr>
      <w:r>
        <w:t>Strategic Planning: Identify trending programs and allocate resources accordingly</w:t>
      </w:r>
    </w:p>
    <w:p>
      <w:pPr>
        <w:pStyle w:val="ListBullet"/>
        <w:spacing w:line="276" w:lineRule="auto"/>
      </w:pPr>
      <w:r>
        <w:t>Marketing &amp; Recruitment: Showcase DePauw's robust study abroad opportunities to prospective students</w:t>
      </w:r>
    </w:p>
    <w:p>
      <w:pPr>
        <w:pStyle w:val="ListBullet"/>
        <w:spacing w:line="276" w:lineRule="auto"/>
      </w:pPr>
      <w:r>
        <w:t>Program Development: Understand gaps and opportunities in current offerings</w:t>
      </w:r>
    </w:p>
    <w:p>
      <w:pPr>
        <w:pStyle w:val="ListBullet"/>
        <w:spacing w:line="276" w:lineRule="auto"/>
      </w:pPr>
      <w:r>
        <w:t>Academic Integration: Facilitate discussions between academic departments and OCS</w:t>
      </w:r>
    </w:p>
    <w:p>
      <w:pPr>
        <w:pStyle w:val="ListBullet"/>
        <w:spacing w:line="276" w:lineRule="auto"/>
      </w:pPr>
      <w:r>
        <w:t>Alumni Engagement: Demonstrate the scope and impact of study abroad programs</w:t>
      </w:r>
    </w:p>
    <w:p/>
    <w:p/>
    <w:p>
      <w:pPr>
        <w:spacing w:line="276" w:lineRule="auto"/>
      </w:pPr>
      <w:r>
        <w:t>All documentation, deployment guides, and technical resources are included in the repository. I am available to discuss the platform, demonstrate the visualizations, and assist with the publication process at your convenience.</w:t>
      </w:r>
    </w:p>
    <w:p/>
    <w:p>
      <w:pPr>
        <w:spacing w:line="276" w:lineRule="auto"/>
      </w:pPr>
      <w:r>
        <w:t>Best regards,</w:t>
      </w:r>
    </w:p>
    <w:p/>
    <w:p/>
    <w:p/>
    <w:p>
      <w:r>
        <w:rPr>
          <w:i/>
          <w:color w:val="646464"/>
          <w:sz w:val="18"/>
        </w:rPr>
        <w:t>Note: Complete deployment instructions and detailed documentation are available in the repository under DEPLOYMENT.md and README.md files.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