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52" w:lineRule="auto"/>
      </w:pPr>
      <w:r>
        <w:rPr>
          <w:rFonts w:ascii="Calibri" w:hAnsi="Calibri"/>
          <w:b w:val="0"/>
          <w:i w:val="0"/>
          <w:color w:val="595959"/>
          <w:sz w:val="18"/>
        </w:rPr>
        <w:t>Rapport De Projet</w:t>
      </w:r>
    </w:p>
    <w:p>
      <w:pPr>
        <w:spacing w:before="0" w:after="40" w:line="252" w:lineRule="auto"/>
      </w:pPr>
      <w:r>
        <w:rPr>
          <w:rFonts w:ascii="Calibri" w:hAnsi="Calibri"/>
          <w:b w:val="0"/>
          <w:i w:val="0"/>
          <w:color w:val="595959"/>
          <w:sz w:val="18"/>
        </w:rPr>
        <w:t>AgriVision-AI : Diagnostic des maladies des cultures par vision par ordinateur, et mesure honnête de ce qu'un tel modèle vaut au champ</w:t>
      </w:r>
    </w:p>
    <w:p>
      <w:pPr>
        <w:spacing w:before="0" w:after="200" w:line="252" w:lineRule="auto"/>
      </w:pPr>
      <w:r>
        <w:rPr>
          <w:rFonts w:ascii="Calibri" w:hAnsi="Calibri"/>
          <w:b w:val="0"/>
          <w:i/>
          <w:color w:val="595959"/>
          <w:sz w:val="18"/>
        </w:rPr>
        <w:t>Rédaction : Cheick Oumar Doumbia</w:t>
      </w:r>
    </w:p>
    <w:p>
      <w:pPr>
        <w:spacing w:before="0" w:after="40"/>
        <w:keepLines/>
        <w:keepNext/>
      </w:pPr>
      <w:r>
        <w:rPr>
          <w:rFonts w:ascii="Calibri" w:hAnsi="Calibri"/>
          <w:b/>
          <w:color w:val="595959"/>
          <w:sz w:val="19"/>
        </w:rPr>
        <w:t>CHAPITRE 1</w:t>
      </w:r>
    </w:p>
    <w:p>
      <w:pPr>
        <w:pStyle w:val="Heading1"/>
        <w:spacing w:before="0" w:after="80" w:line="252" w:lineRule="auto"/>
        <w:jc w:val="left"/>
        <w:keepLines/>
        <w:keepNext/>
      </w:pPr>
      <w:r>
        <w:rPr>
          <w:rFonts w:ascii="Calibri" w:hAnsi="Calibri"/>
          <w:b/>
          <w:color w:val="000000"/>
          <w:sz w:val="34"/>
        </w:rPr>
        <w:t>Contexte et problématique</w:t>
      </w:r>
    </w:p>
    <w:p>
      <w:pPr>
        <w:spacing w:before="0" w:after="240"/>
        <w:pBdr>
          <w:bottom w:val="single" w:sz="8" w:space="1" w:color="808080"/>
        </w:pBdr>
        <w:keepLines/>
        <w:keepNext/>
      </w:pPr>
    </w:p>
    <w:p>
      <w:pPr>
        <w:pStyle w:val="Heading2"/>
        <w:spacing w:before="200" w:after="60" w:line="252" w:lineRule="auto"/>
        <w:jc w:val="left"/>
        <w:keepLines/>
        <w:keepNext/>
      </w:pPr>
      <w:r>
        <w:rPr>
          <w:rFonts w:ascii="Calibri" w:hAnsi="Calibri"/>
          <w:b/>
          <w:color w:val="000000"/>
          <w:sz w:val="25"/>
        </w:rPr>
        <w:t>Le problème agricole</w:t>
      </w:r>
    </w:p>
    <w:p>
      <w:pPr>
        <w:spacing w:before="40" w:after="100" w:line="252" w:lineRule="auto"/>
        <w:jc w:val="both"/>
      </w:pPr>
      <w:r>
        <w:rPr>
          <w:rFonts w:ascii="Calibri" w:hAnsi="Calibri"/>
          <w:b w:val="0"/>
          <w:i w:val="0"/>
          <w:color w:val="1A1A1A"/>
          <w:sz w:val="21"/>
        </w:rPr>
        <w:t>Les cultures vivrières et de rente en Afrique de l'Ouest subissent des pertes considérables faute de diagnostic précoce des maladies foliaires. Un producteur éloigné d'un service phytosanitaire ne dispose généralement d'aucun moyen simple d'identifier une maladie à ses premiers symptômes, alors que la précocité du diagnostic conditionne directement l'efficacité du traitement et la limitation de la propagation.</w:t>
      </w:r>
    </w:p>
    <w:p>
      <w:pPr>
        <w:spacing w:before="40" w:after="100" w:line="252" w:lineRule="auto"/>
        <w:jc w:val="both"/>
      </w:pPr>
      <w:r>
        <w:rPr>
          <w:rFonts w:ascii="Calibri" w:hAnsi="Calibri"/>
          <w:b w:val="0"/>
          <w:i w:val="0"/>
          <w:color w:val="1A1A1A"/>
          <w:sz w:val="21"/>
        </w:rPr>
        <w:t>Deux constats renforcent ce problème sans qu'il soit possible de les chiffrer à partir des sources dont nous disposons : le délai entre l'apparition des symptômes et un diagnostic par un conseiller agricole peut être long lorsque ce conseiller n'est pas facilement accessible, et le nombre de conseillers disponibles rapporté au nombre d'exploitations reste, dans beaucoup de régions d'Afrique de l'Ouest, limité. Nous ne disposons pas de chiffre vérifiable pour ces deux points dans les sources du dépôt ; nous les mentionnons donc comme éléments de contexte qualitatifs, pas comme données mesurées.</w:t>
      </w:r>
    </w:p>
    <w:p>
      <w:pPr>
        <w:pStyle w:val="Heading2"/>
        <w:spacing w:before="200" w:after="60" w:line="252" w:lineRule="auto"/>
        <w:jc w:val="left"/>
        <w:keepLines/>
        <w:keepNext/>
      </w:pPr>
      <w:r>
        <w:rPr>
          <w:rFonts w:ascii="Calibri" w:hAnsi="Calibri"/>
          <w:b/>
          <w:color w:val="000000"/>
          <w:sz w:val="25"/>
        </w:rPr>
        <w:t>Pourquoi la vision par ordinateur</w:t>
      </w:r>
    </w:p>
    <w:p>
      <w:pPr>
        <w:spacing w:before="40" w:after="100" w:line="252" w:lineRule="auto"/>
        <w:jc w:val="both"/>
      </w:pPr>
      <w:r>
        <w:rPr>
          <w:rFonts w:ascii="Calibri" w:hAnsi="Calibri"/>
          <w:b w:val="0"/>
          <w:i w:val="0"/>
          <w:color w:val="1A1A1A"/>
          <w:sz w:val="21"/>
        </w:rPr>
        <w:t>Le téléphone équipé d'un appareil photo est déjà présent dans une grande partie des exploitations, ce qui n'est le cas d'aucun autre instrument de diagnostic spécialisé. C'est ce constat qui rend la vision par ordinateur pertinente pour ce contexte précis : elle s'appuie sur un matériel déjà possédé, plutôt que sur un équipement à acquérir.</w:t>
      </w:r>
    </w:p>
    <w:p>
      <w:pPr>
        <w:spacing w:before="40" w:after="100" w:line="252" w:lineRule="auto"/>
        <w:jc w:val="both"/>
      </w:pPr>
      <w:r>
        <w:rPr>
          <w:rFonts w:ascii="Calibri" w:hAnsi="Calibri"/>
          <w:b w:val="0"/>
          <w:i w:val="0"/>
          <w:color w:val="1A1A1A"/>
          <w:sz w:val="21"/>
        </w:rPr>
        <w:t>Un modèle de vision entraîné pour cette tâche sait attribuer une classe à une photographie de feuille, avec un niveau de confiance associé. Il ne sait pas, et ne prétend pas savoir, mesurer la gravité d'une infection, prescrire un traitement, ou remplacer le jugement d'un conseiller agricole. Cette limite est posée dès ce premier chapitre parce qu'elle encadre tout le reste du projet ; le chapitre 9 y revient en détail, à la lumière des mesures effectuées.</w:t>
      </w:r>
    </w:p>
    <w:p>
      <w:pPr>
        <w:pStyle w:val="Heading2"/>
        <w:spacing w:before="200" w:after="60" w:line="252" w:lineRule="auto"/>
        <w:jc w:val="left"/>
        <w:keepLines/>
        <w:keepNext/>
      </w:pPr>
      <w:r>
        <w:rPr>
          <w:rFonts w:ascii="Calibri" w:hAnsi="Calibri"/>
          <w:b/>
          <w:color w:val="000000"/>
          <w:sz w:val="25"/>
        </w:rPr>
        <w:t>Ce que le projet a construit</w:t>
      </w:r>
    </w:p>
    <w:p>
      <w:pPr>
        <w:spacing w:before="40" w:after="100" w:line="252" w:lineRule="auto"/>
        <w:jc w:val="both"/>
      </w:pPr>
      <w:r>
        <w:rPr>
          <w:rFonts w:ascii="Calibri" w:hAnsi="Calibri"/>
          <w:b w:val="0"/>
          <w:i w:val="0"/>
          <w:color w:val="1A1A1A"/>
          <w:sz w:val="21"/>
        </w:rPr>
        <w:t>AgriVision-AI est une plateforme qui reçoit la photographie d'une feuille, attribue un diagnostic parmi dix classes de maladies, indique un niveau de confiance, montre par une carte visuelle les zones de l'image qui ont motivé la décision, et propose une conduite à tenir.</w:t>
      </w:r>
    </w:p>
    <w:p>
      <w:pPr>
        <w:spacing w:before="40" w:after="100" w:line="252" w:lineRule="auto"/>
        <w:jc w:val="both"/>
      </w:pPr>
      <w:r>
        <w:rPr>
          <w:rFonts w:ascii="Calibri" w:hAnsi="Calibri"/>
          <w:b w:val="0"/>
          <w:i w:val="0"/>
          <w:color w:val="1A1A1A"/>
          <w:sz w:val="21"/>
        </w:rPr>
        <w:t>Les dix classes retenues couvrent trois cultures : la tomate, le maïs et le poivron. Ce périmètre, précisé au chapitre 2, a été gelé le 14 août 2026 dans le contrat d'interface qui sépare les deux composantes du projet, et n'a plus bougé depuis.</w:t>
      </w:r>
    </w:p>
    <w:p>
      <w:pPr>
        <w:pStyle w:val="Heading2"/>
        <w:spacing w:before="200" w:after="60" w:line="252" w:lineRule="auto"/>
        <w:jc w:val="left"/>
        <w:keepLines/>
        <w:keepNext/>
      </w:pPr>
      <w:r>
        <w:rPr>
          <w:rFonts w:ascii="Calibri" w:hAnsi="Calibri"/>
          <w:b/>
          <w:color w:val="000000"/>
          <w:sz w:val="25"/>
        </w:rPr>
        <w:t>La question à laquelle le rapport répond</w:t>
      </w:r>
    </w:p>
    <w:p>
      <w:pPr>
        <w:spacing w:before="40" w:after="100" w:line="252" w:lineRule="auto"/>
        <w:jc w:val="both"/>
      </w:pPr>
      <w:r>
        <w:rPr>
          <w:rFonts w:ascii="Calibri" w:hAnsi="Calibri"/>
          <w:b w:val="0"/>
          <w:i w:val="0"/>
          <w:color w:val="1A1A1A"/>
          <w:sz w:val="21"/>
        </w:rPr>
        <w:t>Un modèle qui obtient un excellent résultat sur un jeu de test de laboratoire est-il pour autant utilisable au champ ? Ce rapport répond non, le mesure, et en tire les conséquences sur la conception de l'application. Cette question traverse l'ensemble du document : les chapitres 5 et 6 la mesurent, le chapitre 7 montre ce qui a été fait pour y répondre, et le chapitre 9 en tire les limites qui subsistent.</w:t>
      </w:r>
    </w:p>
    <w:p>
      <w:pPr>
        <w:pStyle w:val="Heading2"/>
        <w:spacing w:before="200" w:after="60" w:line="252" w:lineRule="auto"/>
        <w:jc w:val="left"/>
        <w:keepLines/>
        <w:keepNext/>
      </w:pPr>
      <w:r>
        <w:rPr>
          <w:rFonts w:ascii="Calibri" w:hAnsi="Calibri"/>
          <w:b/>
          <w:color w:val="000000"/>
          <w:sz w:val="25"/>
        </w:rPr>
        <w:t>Organisation du rapport</w:t>
      </w:r>
    </w:p>
    <w:p>
      <w:pPr>
        <w:spacing w:before="40" w:after="100" w:line="252" w:lineRule="auto"/>
        <w:jc w:val="both"/>
      </w:pPr>
      <w:r>
        <w:rPr>
          <w:rFonts w:ascii="Calibri" w:hAnsi="Calibri"/>
          <w:b w:val="0"/>
          <w:i w:val="0"/>
          <w:color w:val="1A1A1A"/>
          <w:sz w:val="21"/>
        </w:rPr>
        <w:t>Le chapitre 2 décrit le corpus et son découpage. Le chapitre 3 présente l'architecture de la plateforme et le contrat qui sépare les deux binômes. Le chapitre 4 justifie les choix techniques, du modèle au déploiement. Les chapitres 5 à 7 mesurent les performances du modèle, en studio puis au champ, et présentent la version 2 construite pour répondre à cet écart. Le chapitre 8 explique les décisions du modèle par l'interprétabilité. Le chapitre 9 dresse les limites connues, et le chapitre 10 propose des pistes pour y répondre.</w:t>
      </w:r>
    </w:p>
    <w:p>
      <w:pPr>
        <w:spacing w:before="40" w:after="100" w:line="252" w:lineRule="auto"/>
        <w:jc w:val="both"/>
      </w:pPr>
      <w:r>
        <w:rPr>
          <w:rFonts w:ascii="Calibri" w:hAnsi="Calibri"/>
          <w:b w:val="0"/>
          <w:i w:val="0"/>
          <w:color w:val="1A1A1A"/>
          <w:sz w:val="21"/>
        </w:rPr>
        <w:t>Le projet est mené par un binôme de deux étudiants. Cheick Oumar Doumbia, binôme A, est responsable du corpus, du prétraitement et du service d'inférence ; Faustin Félicien Pikbougoum, binôme B, est responsable de l'entraînement du modèle, de l'évaluation, de l'interprétabilité et de l'application. Cette répartition se retrouve dans l'attribution des chapitres : les chapitres 1 à 3, la section 4.2 et le chapitre 10 sont rédigés par Cheick, les chapitres 5 à 9 et la section 4.1 par Faustin.</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AgriVision-AI    |    Chapitre 1    |    page </w:t>
    </w:r>
    <w:r>
      <w:rPr>
        <w:rFonts w:ascii="Calibri" w:hAnsi="Calibri"/>
        <w:b w:val="0"/>
        <w:color w:val="595959"/>
        <w:sz w:val="16"/>
      </w:rPr>
      <w:fldChar w:fldCharType="begin"/>
      <w:instrText xml:space="preserve">PAGE</w:instrText>
      <w:fldChar w:fldCharType="separate"/>
      <w:fldChar w:fldCharType="end"/>
    </w:r>
    <w:r>
      <w:rPr>
        <w:rFonts w:ascii="Calibri" w:hAnsi="Calibri"/>
        <w:color w:val="595959"/>
        <w:sz w:val="16"/>
      </w:rPr>
      <w:t xml:space="preserve"> sur </w:t>
    </w:r>
    <w:r>
      <w:rPr>
        <w:rFonts w:ascii="Calibri" w:hAnsi="Calibri"/>
        <w:b w:val="0"/>
        <w:color w:val="595959"/>
        <w:sz w:val="16"/>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AgriVision-AI : chapitre 1, Contexte et problématique</dc:title>
  <dc:subject>Diagnostic des maladies des cultures par vision par ordinateur, et mesure honnête de ce qu'un tel modèle vaut au champ</dc:subject>
  <dc:creator>Cheick Oumar Doumbia</dc:creator>
  <cp:keywords/>
  <dc:description/>
  <cp:lastModifiedBy>Cheick Oumar Doumbia</cp:lastModifiedBy>
  <cp:revision>1</cp:revision>
  <dcterms:created xsi:type="dcterms:W3CDTF">2026-08-30T15:09:17Z</dcterms:created>
  <dcterms:modified xsi:type="dcterms:W3CDTF">2026-08-30T15:09:17Z</dcterms:modified>
  <cp:category/>
</cp:coreProperties>
</file>