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52" w:lineRule="auto"/>
      </w:pPr>
      <w:r>
        <w:rPr>
          <w:rFonts w:ascii="Calibri" w:hAnsi="Calibri"/>
          <w:b w:val="0"/>
          <w:i w:val="0"/>
          <w:color w:val="595959"/>
          <w:sz w:val="18"/>
        </w:rPr>
        <w:t>Rapport De Projet</w:t>
      </w:r>
    </w:p>
    <w:p>
      <w:pPr>
        <w:spacing w:before="0" w:after="40" w:line="252" w:lineRule="auto"/>
      </w:pPr>
      <w:r>
        <w:rPr>
          <w:rFonts w:ascii="Calibri" w:hAnsi="Calibri"/>
          <w:b w:val="0"/>
          <w:i w:val="0"/>
          <w:color w:val="595959"/>
          <w:sz w:val="18"/>
        </w:rPr>
        <w:t>AgriVision-AI : Diagnostic des maladies des cultures par vision par ordinateur, et mesure honnête de ce qu'un tel modèle vaut au champ</w:t>
      </w:r>
    </w:p>
    <w:p>
      <w:pPr>
        <w:spacing w:before="0" w:after="200" w:line="252" w:lineRule="auto"/>
      </w:pPr>
      <w:r>
        <w:rPr>
          <w:rFonts w:ascii="Calibri" w:hAnsi="Calibri"/>
          <w:b w:val="0"/>
          <w:i/>
          <w:color w:val="595959"/>
          <w:sz w:val="18"/>
        </w:rPr>
        <w:t>Rédaction : Cheick Oumar Doumbia</w:t>
      </w:r>
    </w:p>
    <w:p>
      <w:pPr>
        <w:spacing w:before="0" w:after="40"/>
        <w:keepLines/>
        <w:keepNext/>
      </w:pPr>
      <w:r>
        <w:rPr>
          <w:rFonts w:ascii="Calibri" w:hAnsi="Calibri"/>
          <w:b/>
          <w:color w:val="595959"/>
          <w:sz w:val="19"/>
        </w:rPr>
        <w:t>CHAPITRE 2</w:t>
      </w:r>
    </w:p>
    <w:p>
      <w:pPr>
        <w:pStyle w:val="Heading1"/>
        <w:spacing w:before="0" w:after="80" w:line="252" w:lineRule="auto"/>
        <w:jc w:val="left"/>
        <w:keepLines/>
        <w:keepNext/>
      </w:pPr>
      <w:r>
        <w:rPr>
          <w:rFonts w:ascii="Calibri" w:hAnsi="Calibri"/>
          <w:b/>
          <w:color w:val="000000"/>
          <w:sz w:val="34"/>
        </w:rPr>
        <w:t>Le corpus : constitution, nettoyage et découpage</w:t>
      </w:r>
    </w:p>
    <w:p>
      <w:pPr>
        <w:spacing w:before="0" w:after="240"/>
        <w:pBdr>
          <w:bottom w:val="single" w:sz="8" w:space="1" w:color="808080"/>
        </w:pBdr>
        <w:keepLines/>
        <w:keepNext/>
      </w:pPr>
    </w:p>
    <w:p>
      <w:pPr>
        <w:pStyle w:val="Heading2"/>
        <w:spacing w:before="200" w:after="60" w:line="252" w:lineRule="auto"/>
        <w:jc w:val="left"/>
        <w:keepLines/>
        <w:keepNext/>
      </w:pPr>
      <w:r>
        <w:rPr>
          <w:rFonts w:ascii="Calibri" w:hAnsi="Calibri"/>
          <w:b/>
          <w:color w:val="000000"/>
          <w:sz w:val="25"/>
        </w:rPr>
        <w:t>PlantVillage : origine et nature</w:t>
      </w:r>
    </w:p>
    <w:p>
      <w:pPr>
        <w:spacing w:before="40" w:after="100" w:line="252" w:lineRule="auto"/>
        <w:jc w:val="both"/>
      </w:pPr>
      <w:r>
        <w:rPr>
          <w:rFonts w:ascii="Calibri" w:hAnsi="Calibri"/>
          <w:b w:val="0"/>
          <w:i w:val="0"/>
          <w:color w:val="1A1A1A"/>
          <w:sz w:val="21"/>
        </w:rPr>
        <w:t>Le corpus s'appuie sur PlantVillage, un corpus de référence de photographies de feuilles, largement utilisé dans les travaux de classification de maladies des plantes. Les images y sont produites en conditions de studio : une feuille détachée, photographiée seule sur un fond uni.</w:t>
      </w:r>
    </w:p>
    <w:p>
      <w:pPr>
        <w:spacing w:before="40" w:after="100" w:line="252" w:lineRule="auto"/>
        <w:jc w:val="both"/>
      </w:pPr>
      <w:r>
        <w:rPr>
          <w:rFonts w:ascii="Calibri" w:hAnsi="Calibri"/>
          <w:b w:val="0"/>
          <w:i w:val="0"/>
          <w:color w:val="1A1A1A"/>
          <w:sz w:val="21"/>
        </w:rPr>
        <w:t>Ce caractère de laboratoire n'est pas idéal, mais PlantVillage reste le corpus retenu parce qu'il est le seul disponible en quantité suffisante et correctement étiqueté pour les dix classes visées par le projet. Il faut le dire dès ce chapitre : cette nature de studio est directement la cause de ce que mesure le chapitre 6, qui compare les performances du modèle en studio et sur des photographies de terrain. Le lecteur doit garder ce point en tête avant de lire les 96,64 pour cent obtenus en studio au chapitre 5 : ce chiffre mesure une performance sur des images qui ressemblent toutes à celles d'entraînement, pas une performance au champ.</w:t>
      </w:r>
    </w:p>
    <w:p>
      <w:pPr>
        <w:pStyle w:val="Heading2"/>
        <w:spacing w:before="200" w:after="60" w:line="252" w:lineRule="auto"/>
        <w:jc w:val="left"/>
        <w:keepLines/>
        <w:keepNext/>
      </w:pPr>
      <w:r>
        <w:rPr>
          <w:rFonts w:ascii="Calibri" w:hAnsi="Calibri"/>
          <w:b/>
          <w:color w:val="000000"/>
          <w:sz w:val="25"/>
        </w:rPr>
        <w:t>Les dix classes retenues</w:t>
      </w:r>
    </w:p>
    <w:tbl>
      <w:tblPr>
        <w:tblStyle w:val="TableGrid"/>
        <w:tblW w:type="auto" w:w="0"/>
        <w:jc w:val="left"/>
        <w:tblLook w:firstColumn="1" w:firstRow="1" w:lastColumn="0" w:lastRow="0" w:noHBand="0" w:noVBand="1" w:val="04A0"/>
      </w:tblPr>
      <w:tblGrid>
        <w:gridCol w:w="5043"/>
        <w:gridCol w:w="5043"/>
      </w:tblGrid>
      <w:tr>
        <w:trPr>
          <w:tblHeader/>
          <w:cantSplit/>
        </w:trPr>
        <w:tc>
          <w:tcPr>
            <w:tcW w:type="dxa" w:w="5043"/>
            <w:shd w:val="clear" w:color="auto" w:fill="D9D9D9"/>
          </w:tcPr>
          <w:p>
            <w:pPr>
              <w:spacing w:before="60" w:after="60"/>
              <w:keepLines/>
              <w:keepNext/>
            </w:pPr>
            <w:r/>
            <w:r>
              <w:rPr>
                <w:rFonts w:ascii="Calibri" w:hAnsi="Calibri"/>
                <w:b/>
                <w:color w:val="000000"/>
                <w:sz w:val="18"/>
              </w:rPr>
              <w:t>Culture</w:t>
            </w:r>
          </w:p>
        </w:tc>
        <w:tc>
          <w:tcPr>
            <w:tcW w:type="dxa" w:w="5043"/>
            <w:shd w:val="clear" w:color="auto" w:fill="D9D9D9"/>
          </w:tcPr>
          <w:p>
            <w:pPr>
              <w:spacing w:before="60" w:after="60"/>
              <w:keepLines/>
              <w:keepNext/>
            </w:pPr>
            <w:r/>
            <w:r>
              <w:rPr>
                <w:rFonts w:ascii="Calibri" w:hAnsi="Calibri"/>
                <w:b/>
                <w:color w:val="000000"/>
                <w:sz w:val="18"/>
              </w:rPr>
              <w:t>États reconnus</w:t>
            </w:r>
          </w:p>
        </w:tc>
      </w:tr>
      <w:tr>
        <w:trPr>
          <w:cantSplit/>
        </w:trPr>
        <w:tc>
          <w:tcPr>
            <w:tcW w:type="dxa" w:w="5043"/>
          </w:tcPr>
          <w:p>
            <w:pPr>
              <w:spacing w:before="60" w:after="60" w:line="259" w:lineRule="auto"/>
              <w:keepLines/>
              <w:keepNext/>
            </w:pPr>
            <w:r/>
            <w:r>
              <w:rPr>
                <w:rFonts w:ascii="Calibri" w:hAnsi="Calibri"/>
                <w:b w:val="0"/>
                <w:i w:val="0"/>
                <w:color w:val="1A1A1A"/>
                <w:sz w:val="18"/>
              </w:rPr>
              <w:t>Tomate</w:t>
            </w:r>
          </w:p>
        </w:tc>
        <w:tc>
          <w:tcPr>
            <w:tcW w:type="dxa" w:w="5043"/>
          </w:tcPr>
          <w:p>
            <w:pPr>
              <w:spacing w:before="60" w:after="60" w:line="259" w:lineRule="auto"/>
              <w:keepLines/>
              <w:keepNext/>
            </w:pPr>
            <w:r/>
            <w:r>
              <w:rPr>
                <w:rFonts w:ascii="Calibri" w:hAnsi="Calibri"/>
                <w:b w:val="0"/>
                <w:i w:val="0"/>
                <w:color w:val="1A1A1A"/>
                <w:sz w:val="18"/>
              </w:rPr>
              <w:t>Saine, Mildiou tardif, Tache bactérienne, Septoriose</w:t>
            </w:r>
          </w:p>
        </w:tc>
      </w:tr>
      <w:tr>
        <w:trPr>
          <w:cantSplit/>
        </w:trPr>
        <w:tc>
          <w:tcPr>
            <w:tcW w:type="dxa" w:w="5043"/>
            <w:shd w:val="clear" w:color="auto" w:fill="F4F4F4"/>
          </w:tcPr>
          <w:p>
            <w:pPr>
              <w:spacing w:before="60" w:after="60" w:line="259" w:lineRule="auto"/>
              <w:keepLines/>
              <w:keepNext/>
            </w:pPr>
            <w:r/>
            <w:r>
              <w:rPr>
                <w:rFonts w:ascii="Calibri" w:hAnsi="Calibri"/>
                <w:b w:val="0"/>
                <w:i w:val="0"/>
                <w:color w:val="1A1A1A"/>
                <w:sz w:val="18"/>
              </w:rPr>
              <w:t>Maïs</w:t>
            </w:r>
          </w:p>
        </w:tc>
        <w:tc>
          <w:tcPr>
            <w:tcW w:type="dxa" w:w="5043"/>
            <w:shd w:val="clear" w:color="auto" w:fill="F4F4F4"/>
          </w:tcPr>
          <w:p>
            <w:pPr>
              <w:spacing w:before="60" w:after="60" w:line="259" w:lineRule="auto"/>
              <w:keepLines/>
              <w:keepNext/>
            </w:pPr>
            <w:r/>
            <w:r>
              <w:rPr>
                <w:rFonts w:ascii="Calibri" w:hAnsi="Calibri"/>
                <w:b w:val="0"/>
                <w:i w:val="0"/>
                <w:color w:val="1A1A1A"/>
                <w:sz w:val="18"/>
              </w:rPr>
              <w:t>Sain, Rouille commune, Helminthosporiose, Cercosporiose</w:t>
            </w:r>
          </w:p>
        </w:tc>
      </w:tr>
      <w:tr>
        <w:trPr>
          <w:cantSplit/>
        </w:trPr>
        <w:tc>
          <w:tcPr>
            <w:tcW w:type="dxa" w:w="5043"/>
          </w:tcPr>
          <w:p>
            <w:pPr>
              <w:spacing w:before="60" w:after="60" w:line="259" w:lineRule="auto"/>
            </w:pPr>
            <w:r/>
            <w:r>
              <w:rPr>
                <w:rFonts w:ascii="Calibri" w:hAnsi="Calibri"/>
                <w:b w:val="0"/>
                <w:i w:val="0"/>
                <w:color w:val="1A1A1A"/>
                <w:sz w:val="18"/>
              </w:rPr>
              <w:t>Poivron</w:t>
            </w:r>
          </w:p>
        </w:tc>
        <w:tc>
          <w:tcPr>
            <w:tcW w:type="dxa" w:w="5043"/>
          </w:tcPr>
          <w:p>
            <w:pPr>
              <w:spacing w:before="60" w:after="60" w:line="259" w:lineRule="auto"/>
            </w:pPr>
            <w:r/>
            <w:r>
              <w:rPr>
                <w:rFonts w:ascii="Calibri" w:hAnsi="Calibri"/>
                <w:b w:val="0"/>
                <w:i w:val="0"/>
                <w:color w:val="1A1A1A"/>
                <w:sz w:val="18"/>
              </w:rPr>
              <w:t>Sain, Tache bactérienne</w:t>
            </w:r>
          </w:p>
        </w:tc>
      </w:tr>
    </w:tbl>
    <w:p>
      <w:pPr>
        <w:spacing w:before="60" w:after="160"/>
        <w:jc w:val="left"/>
      </w:pPr>
      <w:r>
        <w:rPr>
          <w:rFonts w:ascii="Calibri" w:hAnsi="Calibri"/>
          <w:b/>
          <w:color w:val="000000"/>
          <w:sz w:val="18"/>
        </w:rPr>
        <w:t xml:space="preserve">Tableau 1. </w:t>
      </w:r>
      <w:r>
        <w:rPr>
          <w:rFonts w:ascii="Calibri" w:hAnsi="Calibri"/>
          <w:i/>
          <w:color w:val="595959"/>
          <w:sz w:val="18"/>
        </w:rPr>
        <w:t>Les dix classes du contrat d'interface, gelées au 14 août 2026.</w:t>
      </w:r>
    </w:p>
    <w:p>
      <w:pPr>
        <w:spacing w:before="40" w:after="100" w:line="252" w:lineRule="auto"/>
        <w:jc w:val="both"/>
      </w:pPr>
      <w:r>
        <w:rPr>
          <w:rFonts w:ascii="Calibri" w:hAnsi="Calibri"/>
          <w:b w:val="0"/>
          <w:i w:val="0"/>
          <w:color w:val="1A1A1A"/>
          <w:sz w:val="21"/>
        </w:rPr>
        <w:t xml:space="preserve">Ces dix classes ont été choisies parmi les 38 que compte PlantVillage, sur le critère d'un périmètre maîtrisable pour un projet de 30 jours : trois cultures courantes, et pour chacune un état sain plus les maladies les plus représentées. Le fichier </w:t>
      </w:r>
      <w:r>
        <w:rPr>
          <w:rFonts w:ascii="Consolas" w:hAnsi="Consolas"/>
          <w:b w:val="0"/>
          <w:i w:val="0"/>
          <w:color w:val="1A1A1A"/>
          <w:sz w:val="20"/>
        </w:rPr>
        <w:t>classes.json</w:t>
      </w:r>
      <w:r>
        <w:rPr>
          <w:rFonts w:ascii="Calibri" w:hAnsi="Calibri"/>
          <w:b w:val="0"/>
          <w:i w:val="0"/>
          <w:color w:val="1A1A1A"/>
          <w:sz w:val="21"/>
        </w:rPr>
        <w:t xml:space="preserve"> est la source unique de vérité pour l'ordre de ces classes. Un ordre stable entre l'entraînement et le service n'est pas un détail : c'est cet ordre qui permet au service de traduire correctement l'indice renvoyé par le modèle en un libellé de maladie, et le chapitre 3 revient sur les conséquences d'un décalage à ce niveau.</w:t>
      </w:r>
    </w:p>
    <w:p>
      <w:pPr>
        <w:pStyle w:val="Heading2"/>
        <w:spacing w:before="200" w:after="60" w:line="252" w:lineRule="auto"/>
        <w:jc w:val="left"/>
        <w:keepLines/>
        <w:keepNext/>
      </w:pPr>
      <w:r>
        <w:rPr>
          <w:rFonts w:ascii="Calibri" w:hAnsi="Calibri"/>
          <w:b/>
          <w:color w:val="000000"/>
          <w:sz w:val="25"/>
        </w:rPr>
        <w:t>Répartition et déséquilibre</w:t>
      </w:r>
    </w:p>
    <w:tbl>
      <w:tblPr>
        <w:tblStyle w:val="TableGrid"/>
        <w:tblW w:type="auto" w:w="0"/>
        <w:jc w:val="left"/>
        <w:tblLook w:firstColumn="1" w:firstRow="1" w:lastColumn="0" w:lastRow="0" w:noHBand="0" w:noVBand="1" w:val="04A0"/>
      </w:tblPr>
      <w:tblGrid>
        <w:gridCol w:w="5043"/>
        <w:gridCol w:w="5043"/>
      </w:tblGrid>
      <w:tr>
        <w:trPr>
          <w:tblHeader/>
          <w:cantSplit/>
        </w:trPr>
        <w:tc>
          <w:tcPr>
            <w:tcW w:type="dxa" w:w="5043"/>
            <w:shd w:val="clear" w:color="auto" w:fill="D9D9D9"/>
          </w:tcPr>
          <w:p>
            <w:pPr>
              <w:spacing w:before="60" w:after="60"/>
            </w:pPr>
            <w:r/>
            <w:r>
              <w:rPr>
                <w:rFonts w:ascii="Calibri" w:hAnsi="Calibri"/>
                <w:b/>
                <w:color w:val="000000"/>
                <w:sz w:val="18"/>
              </w:rPr>
              <w:t>Classe</w:t>
            </w:r>
          </w:p>
        </w:tc>
        <w:tc>
          <w:tcPr>
            <w:tcW w:type="dxa" w:w="5043"/>
            <w:shd w:val="clear" w:color="auto" w:fill="D9D9D9"/>
          </w:tcPr>
          <w:p>
            <w:pPr>
              <w:spacing w:before="60" w:after="60"/>
            </w:pPr>
            <w:r/>
            <w:r>
              <w:rPr>
                <w:rFonts w:ascii="Calibri" w:hAnsi="Calibri"/>
                <w:b/>
                <w:color w:val="000000"/>
                <w:sz w:val="18"/>
              </w:rPr>
              <w:t>Images</w:t>
            </w:r>
          </w:p>
        </w:tc>
      </w:tr>
      <w:tr>
        <w:trPr>
          <w:cantSplit/>
        </w:trPr>
        <w:tc>
          <w:tcPr>
            <w:tcW w:type="dxa" w:w="5043"/>
          </w:tcPr>
          <w:p>
            <w:pPr>
              <w:spacing w:before="60" w:after="60" w:line="259" w:lineRule="auto"/>
            </w:pPr>
            <w:r/>
            <w:r>
              <w:rPr>
                <w:rFonts w:ascii="Calibri" w:hAnsi="Calibri"/>
                <w:b w:val="0"/>
                <w:i w:val="0"/>
                <w:color w:val="1A1A1A"/>
                <w:sz w:val="18"/>
              </w:rPr>
              <w:t>Tomate - Tache bactérienne</w:t>
            </w:r>
          </w:p>
        </w:tc>
        <w:tc>
          <w:tcPr>
            <w:tcW w:type="dxa" w:w="5043"/>
          </w:tcPr>
          <w:p>
            <w:pPr>
              <w:spacing w:before="60" w:after="60" w:line="259" w:lineRule="auto"/>
            </w:pPr>
            <w:r/>
            <w:r>
              <w:rPr>
                <w:rFonts w:ascii="Calibri" w:hAnsi="Calibri"/>
                <w:b w:val="0"/>
                <w:i w:val="0"/>
                <w:color w:val="1A1A1A"/>
                <w:sz w:val="18"/>
              </w:rPr>
              <w:t>2 127</w:t>
            </w:r>
          </w:p>
        </w:tc>
      </w:tr>
      <w:tr>
        <w:trPr>
          <w:cantSplit/>
        </w:trPr>
        <w:tc>
          <w:tcPr>
            <w:tcW w:type="dxa" w:w="5043"/>
            <w:shd w:val="clear" w:color="auto" w:fill="F4F4F4"/>
          </w:tcPr>
          <w:p>
            <w:pPr>
              <w:spacing w:before="60" w:after="60" w:line="259" w:lineRule="auto"/>
            </w:pPr>
            <w:r/>
            <w:r>
              <w:rPr>
                <w:rFonts w:ascii="Calibri" w:hAnsi="Calibri"/>
                <w:b w:val="0"/>
                <w:i w:val="0"/>
                <w:color w:val="1A1A1A"/>
                <w:sz w:val="18"/>
              </w:rPr>
              <w:t>Tomate - Mildiou tardif</w:t>
            </w:r>
          </w:p>
        </w:tc>
        <w:tc>
          <w:tcPr>
            <w:tcW w:type="dxa" w:w="5043"/>
            <w:shd w:val="clear" w:color="auto" w:fill="F4F4F4"/>
          </w:tcPr>
          <w:p>
            <w:pPr>
              <w:spacing w:before="60" w:after="60" w:line="259" w:lineRule="auto"/>
            </w:pPr>
            <w:r/>
            <w:r>
              <w:rPr>
                <w:rFonts w:ascii="Calibri" w:hAnsi="Calibri"/>
                <w:b w:val="0"/>
                <w:i w:val="0"/>
                <w:color w:val="1A1A1A"/>
                <w:sz w:val="18"/>
              </w:rPr>
              <w:t>1 909</w:t>
            </w:r>
          </w:p>
        </w:tc>
      </w:tr>
      <w:tr>
        <w:trPr>
          <w:cantSplit/>
        </w:trPr>
        <w:tc>
          <w:tcPr>
            <w:tcW w:type="dxa" w:w="5043"/>
          </w:tcPr>
          <w:p>
            <w:pPr>
              <w:spacing w:before="60" w:after="60" w:line="259" w:lineRule="auto"/>
            </w:pPr>
            <w:r/>
            <w:r>
              <w:rPr>
                <w:rFonts w:ascii="Calibri" w:hAnsi="Calibri"/>
                <w:b w:val="0"/>
                <w:i w:val="0"/>
                <w:color w:val="1A1A1A"/>
                <w:sz w:val="18"/>
              </w:rPr>
              <w:t>Tomate - Septoriose</w:t>
            </w:r>
          </w:p>
        </w:tc>
        <w:tc>
          <w:tcPr>
            <w:tcW w:type="dxa" w:w="5043"/>
          </w:tcPr>
          <w:p>
            <w:pPr>
              <w:spacing w:before="60" w:after="60" w:line="259" w:lineRule="auto"/>
            </w:pPr>
            <w:r/>
            <w:r>
              <w:rPr>
                <w:rFonts w:ascii="Calibri" w:hAnsi="Calibri"/>
                <w:b w:val="0"/>
                <w:i w:val="0"/>
                <w:color w:val="1A1A1A"/>
                <w:sz w:val="18"/>
              </w:rPr>
              <w:t>1 771</w:t>
            </w:r>
          </w:p>
        </w:tc>
      </w:tr>
      <w:tr>
        <w:trPr>
          <w:cantSplit/>
        </w:trPr>
        <w:tc>
          <w:tcPr>
            <w:tcW w:type="dxa" w:w="5043"/>
            <w:shd w:val="clear" w:color="auto" w:fill="F4F4F4"/>
          </w:tcPr>
          <w:p>
            <w:pPr>
              <w:spacing w:before="60" w:after="60" w:line="259" w:lineRule="auto"/>
            </w:pPr>
            <w:r/>
            <w:r>
              <w:rPr>
                <w:rFonts w:ascii="Calibri" w:hAnsi="Calibri"/>
                <w:b w:val="0"/>
                <w:i w:val="0"/>
                <w:color w:val="1A1A1A"/>
                <w:sz w:val="18"/>
              </w:rPr>
              <w:t>Tomate - Saine</w:t>
            </w:r>
          </w:p>
        </w:tc>
        <w:tc>
          <w:tcPr>
            <w:tcW w:type="dxa" w:w="5043"/>
            <w:shd w:val="clear" w:color="auto" w:fill="F4F4F4"/>
          </w:tcPr>
          <w:p>
            <w:pPr>
              <w:spacing w:before="60" w:after="60" w:line="259" w:lineRule="auto"/>
            </w:pPr>
            <w:r/>
            <w:r>
              <w:rPr>
                <w:rFonts w:ascii="Calibri" w:hAnsi="Calibri"/>
                <w:b w:val="0"/>
                <w:i w:val="0"/>
                <w:color w:val="1A1A1A"/>
                <w:sz w:val="18"/>
              </w:rPr>
              <w:t>1 591</w:t>
            </w:r>
          </w:p>
        </w:tc>
      </w:tr>
      <w:tr>
        <w:trPr>
          <w:cantSplit/>
        </w:trPr>
        <w:tc>
          <w:tcPr>
            <w:tcW w:type="dxa" w:w="5043"/>
          </w:tcPr>
          <w:p>
            <w:pPr>
              <w:spacing w:before="60" w:after="60" w:line="259" w:lineRule="auto"/>
            </w:pPr>
            <w:r/>
            <w:r>
              <w:rPr>
                <w:rFonts w:ascii="Calibri" w:hAnsi="Calibri"/>
                <w:b w:val="0"/>
                <w:i w:val="0"/>
                <w:color w:val="1A1A1A"/>
                <w:sz w:val="18"/>
              </w:rPr>
              <w:t>Poivron - Sain</w:t>
            </w:r>
          </w:p>
        </w:tc>
        <w:tc>
          <w:tcPr>
            <w:tcW w:type="dxa" w:w="5043"/>
          </w:tcPr>
          <w:p>
            <w:pPr>
              <w:spacing w:before="60" w:after="60" w:line="259" w:lineRule="auto"/>
            </w:pPr>
            <w:r/>
            <w:r>
              <w:rPr>
                <w:rFonts w:ascii="Calibri" w:hAnsi="Calibri"/>
                <w:b w:val="0"/>
                <w:i w:val="0"/>
                <w:color w:val="1A1A1A"/>
                <w:sz w:val="18"/>
              </w:rPr>
              <w:t>1 478</w:t>
            </w:r>
          </w:p>
        </w:tc>
      </w:tr>
      <w:tr>
        <w:trPr>
          <w:cantSplit/>
        </w:trPr>
        <w:tc>
          <w:tcPr>
            <w:tcW w:type="dxa" w:w="5043"/>
            <w:shd w:val="clear" w:color="auto" w:fill="F4F4F4"/>
          </w:tcPr>
          <w:p>
            <w:pPr>
              <w:spacing w:before="60" w:after="60" w:line="259" w:lineRule="auto"/>
            </w:pPr>
            <w:r/>
            <w:r>
              <w:rPr>
                <w:rFonts w:ascii="Calibri" w:hAnsi="Calibri"/>
                <w:b w:val="0"/>
                <w:i w:val="0"/>
                <w:color w:val="1A1A1A"/>
                <w:sz w:val="18"/>
              </w:rPr>
              <w:t>Maïs - Rouille commune</w:t>
            </w:r>
          </w:p>
        </w:tc>
        <w:tc>
          <w:tcPr>
            <w:tcW w:type="dxa" w:w="5043"/>
            <w:shd w:val="clear" w:color="auto" w:fill="F4F4F4"/>
          </w:tcPr>
          <w:p>
            <w:pPr>
              <w:spacing w:before="60" w:after="60" w:line="259" w:lineRule="auto"/>
            </w:pPr>
            <w:r/>
            <w:r>
              <w:rPr>
                <w:rFonts w:ascii="Calibri" w:hAnsi="Calibri"/>
                <w:b w:val="0"/>
                <w:i w:val="0"/>
                <w:color w:val="1A1A1A"/>
                <w:sz w:val="18"/>
              </w:rPr>
              <w:t>1 192</w:t>
            </w:r>
          </w:p>
        </w:tc>
      </w:tr>
      <w:tr>
        <w:trPr>
          <w:cantSplit/>
        </w:trPr>
        <w:tc>
          <w:tcPr>
            <w:tcW w:type="dxa" w:w="5043"/>
          </w:tcPr>
          <w:p>
            <w:pPr>
              <w:spacing w:before="60" w:after="60" w:line="259" w:lineRule="auto"/>
            </w:pPr>
            <w:r/>
            <w:r>
              <w:rPr>
                <w:rFonts w:ascii="Calibri" w:hAnsi="Calibri"/>
                <w:b w:val="0"/>
                <w:i w:val="0"/>
                <w:color w:val="1A1A1A"/>
                <w:sz w:val="18"/>
              </w:rPr>
              <w:t>Maïs - Sain</w:t>
            </w:r>
          </w:p>
        </w:tc>
        <w:tc>
          <w:tcPr>
            <w:tcW w:type="dxa" w:w="5043"/>
          </w:tcPr>
          <w:p>
            <w:pPr>
              <w:spacing w:before="60" w:after="60" w:line="259" w:lineRule="auto"/>
            </w:pPr>
            <w:r/>
            <w:r>
              <w:rPr>
                <w:rFonts w:ascii="Calibri" w:hAnsi="Calibri"/>
                <w:b w:val="0"/>
                <w:i w:val="0"/>
                <w:color w:val="1A1A1A"/>
                <w:sz w:val="18"/>
              </w:rPr>
              <w:t>1 162</w:t>
            </w:r>
          </w:p>
        </w:tc>
      </w:tr>
      <w:tr>
        <w:trPr>
          <w:cantSplit/>
        </w:trPr>
        <w:tc>
          <w:tcPr>
            <w:tcW w:type="dxa" w:w="5043"/>
            <w:shd w:val="clear" w:color="auto" w:fill="F4F4F4"/>
          </w:tcPr>
          <w:p>
            <w:pPr>
              <w:spacing w:before="60" w:after="60" w:line="259" w:lineRule="auto"/>
            </w:pPr>
            <w:r/>
            <w:r>
              <w:rPr>
                <w:rFonts w:ascii="Calibri" w:hAnsi="Calibri"/>
                <w:b w:val="0"/>
                <w:i w:val="0"/>
                <w:color w:val="1A1A1A"/>
                <w:sz w:val="18"/>
              </w:rPr>
              <w:t>Poivron - Tache bactérienne</w:t>
            </w:r>
          </w:p>
        </w:tc>
        <w:tc>
          <w:tcPr>
            <w:tcW w:type="dxa" w:w="5043"/>
            <w:shd w:val="clear" w:color="auto" w:fill="F4F4F4"/>
          </w:tcPr>
          <w:p>
            <w:pPr>
              <w:spacing w:before="60" w:after="60" w:line="259" w:lineRule="auto"/>
            </w:pPr>
            <w:r/>
            <w:r>
              <w:rPr>
                <w:rFonts w:ascii="Calibri" w:hAnsi="Calibri"/>
                <w:b w:val="0"/>
                <w:i w:val="0"/>
                <w:color w:val="1A1A1A"/>
                <w:sz w:val="18"/>
              </w:rPr>
              <w:t>997</w:t>
            </w:r>
          </w:p>
        </w:tc>
      </w:tr>
      <w:tr>
        <w:trPr>
          <w:cantSplit/>
        </w:trPr>
        <w:tc>
          <w:tcPr>
            <w:tcW w:type="dxa" w:w="5043"/>
          </w:tcPr>
          <w:p>
            <w:pPr>
              <w:spacing w:before="60" w:after="60" w:line="259" w:lineRule="auto"/>
            </w:pPr>
            <w:r/>
            <w:r>
              <w:rPr>
                <w:rFonts w:ascii="Calibri" w:hAnsi="Calibri"/>
                <w:b w:val="0"/>
                <w:i w:val="0"/>
                <w:color w:val="1A1A1A"/>
                <w:sz w:val="18"/>
              </w:rPr>
              <w:t>Maïs - Helminthosporiose</w:t>
            </w:r>
          </w:p>
        </w:tc>
        <w:tc>
          <w:tcPr>
            <w:tcW w:type="dxa" w:w="5043"/>
          </w:tcPr>
          <w:p>
            <w:pPr>
              <w:spacing w:before="60" w:after="60" w:line="259" w:lineRule="auto"/>
            </w:pPr>
            <w:r/>
            <w:r>
              <w:rPr>
                <w:rFonts w:ascii="Calibri" w:hAnsi="Calibri"/>
                <w:b w:val="0"/>
                <w:i w:val="0"/>
                <w:color w:val="1A1A1A"/>
                <w:sz w:val="18"/>
              </w:rPr>
              <w:t>985</w:t>
            </w:r>
          </w:p>
        </w:tc>
      </w:tr>
      <w:tr>
        <w:trPr>
          <w:cantSplit/>
        </w:trPr>
        <w:tc>
          <w:tcPr>
            <w:tcW w:type="dxa" w:w="5043"/>
            <w:shd w:val="clear" w:color="auto" w:fill="F4F4F4"/>
          </w:tcPr>
          <w:p>
            <w:pPr>
              <w:spacing w:before="60" w:after="60" w:line="259" w:lineRule="auto"/>
            </w:pPr>
            <w:r/>
            <w:r>
              <w:rPr>
                <w:rFonts w:ascii="Calibri" w:hAnsi="Calibri"/>
                <w:b w:val="0"/>
                <w:i w:val="0"/>
                <w:color w:val="1A1A1A"/>
                <w:sz w:val="18"/>
              </w:rPr>
              <w:t>Maïs - Cercosporiose</w:t>
            </w:r>
          </w:p>
        </w:tc>
        <w:tc>
          <w:tcPr>
            <w:tcW w:type="dxa" w:w="5043"/>
            <w:shd w:val="clear" w:color="auto" w:fill="F4F4F4"/>
          </w:tcPr>
          <w:p>
            <w:pPr>
              <w:spacing w:before="60" w:after="60" w:line="259" w:lineRule="auto"/>
            </w:pPr>
            <w:r/>
            <w:r>
              <w:rPr>
                <w:rFonts w:ascii="Calibri" w:hAnsi="Calibri"/>
                <w:b w:val="0"/>
                <w:i w:val="0"/>
                <w:color w:val="1A1A1A"/>
                <w:sz w:val="18"/>
              </w:rPr>
              <w:t>513</w:t>
            </w:r>
          </w:p>
        </w:tc>
      </w:tr>
    </w:tbl>
    <w:p>
      <w:pPr>
        <w:spacing w:before="60" w:after="160"/>
        <w:jc w:val="left"/>
      </w:pPr>
      <w:r>
        <w:rPr>
          <w:rFonts w:ascii="Calibri" w:hAnsi="Calibri"/>
          <w:b/>
          <w:color w:val="000000"/>
          <w:sz w:val="18"/>
        </w:rPr>
        <w:t xml:space="preserve">Tableau 2. </w:t>
      </w:r>
      <w:r>
        <w:rPr>
          <w:rFonts w:ascii="Calibri" w:hAnsi="Calibri"/>
          <w:i/>
          <w:color w:val="595959"/>
          <w:sz w:val="18"/>
        </w:rPr>
        <w:t>Effectif par classe, 13 725 images au total. Source : reports/corpus_stats.md.</w:t>
      </w:r>
    </w:p>
    <w:p>
      <w:pPr>
        <w:spacing w:before="40" w:after="100" w:line="252" w:lineRule="auto"/>
        <w:jc w:val="both"/>
      </w:pPr>
      <w:r>
        <w:rPr>
          <w:rFonts w:ascii="Calibri" w:hAnsi="Calibri"/>
          <w:b w:val="0"/>
          <w:i w:val="0"/>
          <w:color w:val="1A1A1A"/>
          <w:sz w:val="21"/>
        </w:rPr>
        <w:t>Le rapport de déséquilibre atteint 4,15 entre la classe la plus fournie, la tache bactérienne de la tomate, et la moins fournie, la cercosporiose du maïs. Laissé tel quel, ce déséquilibre pousserait le modèle à privilégier les classes nombreuses au détriment des classes rares : une erreur sur une classe peu représentée compte moins dans la fonction de perte globale, donc le modèle n'a pas de raison forte de l'éviter. Le chapitre 4 décrit la pondération appliquée à la fonction de perte pour corriger ce biais. Le lien avec le chapitre 5 est direct : la cercosporiose, classe la moins fournie, y obtient aussi le plus faible F1.</w:t>
      </w:r>
    </w:p>
    <w:p>
      <w:pPr>
        <w:pStyle w:val="Heading2"/>
        <w:spacing w:before="200" w:after="60" w:line="252" w:lineRule="auto"/>
        <w:jc w:val="left"/>
        <w:keepLines/>
        <w:keepNext/>
      </w:pPr>
      <w:r>
        <w:rPr>
          <w:rFonts w:ascii="Calibri" w:hAnsi="Calibri"/>
          <w:b/>
          <w:color w:val="000000"/>
          <w:sz w:val="25"/>
        </w:rPr>
        <w:t>Le contrôle d'intégrité</w:t>
      </w:r>
    </w:p>
    <w:p>
      <w:pPr>
        <w:spacing w:before="40" w:after="100" w:line="252" w:lineRule="auto"/>
        <w:jc w:val="both"/>
      </w:pPr>
      <w:r>
        <w:rPr>
          <w:rFonts w:ascii="Calibri" w:hAnsi="Calibri"/>
          <w:b w:val="0"/>
          <w:i w:val="0"/>
          <w:color w:val="1A1A1A"/>
          <w:sz w:val="21"/>
        </w:rPr>
        <w:t>Toutes les images du corpus font 256 pixels de côté, et aucun fichier corrompu n'a été détecté sur les 13 725. Ce contrôle vérifie systématiquement la lisibilité et les dimensions de chaque fichier avant toute autre étape : une image corrompue ou mal dimensionnée qui passerait ce contrôle romprait silencieusement le prétraitement en aval, potentiellement bien plus tard dans la chaîne, à un endroit où l'erreur serait plus difficile à rattacher à sa cause.</w:t>
      </w:r>
    </w:p>
    <w:p>
      <w:pPr>
        <w:pStyle w:val="Heading2"/>
        <w:spacing w:before="200" w:after="60" w:line="252" w:lineRule="auto"/>
        <w:jc w:val="left"/>
        <w:keepLines/>
        <w:keepNext/>
      </w:pPr>
      <w:r>
        <w:rPr>
          <w:rFonts w:ascii="Calibri" w:hAnsi="Calibri"/>
          <w:b/>
          <w:color w:val="000000"/>
          <w:sz w:val="25"/>
        </w:rPr>
        <w:t>La déduplication, et le piège qu'elle referme</w:t>
      </w:r>
    </w:p>
    <w:p>
      <w:pPr>
        <w:spacing w:before="40" w:after="100" w:line="252" w:lineRule="auto"/>
        <w:jc w:val="both"/>
      </w:pPr>
      <w:r>
        <w:rPr>
          <w:rFonts w:ascii="Calibri" w:hAnsi="Calibri"/>
          <w:b w:val="0"/>
          <w:i w:val="0"/>
          <w:color w:val="1A1A1A"/>
          <w:sz w:val="21"/>
        </w:rPr>
        <w:t>Deux types de doublons ont été recherchés dans le corpus.</w:t>
      </w:r>
    </w:p>
    <w:p>
      <w:pPr>
        <w:spacing w:before="40" w:after="100" w:line="252" w:lineRule="auto"/>
        <w:jc w:val="both"/>
      </w:pPr>
      <w:r>
        <w:rPr>
          <w:rFonts w:ascii="Calibri" w:hAnsi="Calibri"/>
          <w:b w:val="0"/>
          <w:i w:val="0"/>
          <w:color w:val="1A1A1A"/>
          <w:sz w:val="21"/>
        </w:rPr>
        <w:t>Les doublons exacts sont détectés par empreinte MD5 : deux fichiers produisent la même empreinte s'ils sont, au bit près, identiques. Quatorze groupes de ce type ont été trouvés, dont huit sur le mildiou tardif de la tomate et six sur la tomate saine. Ils ont été retirés du corpus.</w:t>
      </w:r>
    </w:p>
    <w:p>
      <w:pPr>
        <w:spacing w:before="40" w:after="100" w:line="252" w:lineRule="auto"/>
        <w:jc w:val="both"/>
      </w:pPr>
      <w:r>
        <w:rPr>
          <w:rFonts w:ascii="Calibri" w:hAnsi="Calibri"/>
          <w:b w:val="0"/>
          <w:i w:val="0"/>
          <w:color w:val="1A1A1A"/>
          <w:sz w:val="21"/>
        </w:rPr>
        <w:t>Les quasi-doublons sont plus difficiles à détecter, et plus gênants s'ils passent inaperçus. Ce sont des images visuellement presque identiques mais dont les fichiers diffèrent, par exemple la même feuille photographiée deux fois de suite avec un léger changement de cadrage ou de luminosité. Ils sont repérés par hash perceptif : contrairement au hash exact, ce hash produit des valeurs proches pour des images qui se ressemblent visuellement, même si leurs octets diffèrent.</w:t>
      </w:r>
    </w:p>
    <w:tbl>
      <w:tblPr>
        <w:tblStyle w:val="TableGrid"/>
        <w:tblW w:type="auto" w:w="0"/>
        <w:jc w:val="left"/>
        <w:tblLook w:firstColumn="1" w:firstRow="1" w:lastColumn="0" w:lastRow="0" w:noHBand="0" w:noVBand="1" w:val="04A0"/>
      </w:tblPr>
      <w:tblGrid>
        <w:gridCol w:w="3362"/>
        <w:gridCol w:w="3362"/>
        <w:gridCol w:w="3362"/>
      </w:tblGrid>
      <w:tr>
        <w:trPr>
          <w:tblHeader/>
          <w:cantSplit/>
        </w:trPr>
        <w:tc>
          <w:tcPr>
            <w:tcW w:type="dxa" w:w="3362"/>
            <w:shd w:val="clear" w:color="auto" w:fill="D9D9D9"/>
          </w:tcPr>
          <w:p>
            <w:pPr>
              <w:spacing w:before="60" w:after="60"/>
            </w:pPr>
            <w:r/>
            <w:r>
              <w:rPr>
                <w:rFonts w:ascii="Calibri" w:hAnsi="Calibri"/>
                <w:b/>
                <w:color w:val="000000"/>
                <w:sz w:val="18"/>
              </w:rPr>
              <w:t>Classe</w:t>
            </w:r>
          </w:p>
        </w:tc>
        <w:tc>
          <w:tcPr>
            <w:tcW w:type="dxa" w:w="3362"/>
            <w:shd w:val="clear" w:color="auto" w:fill="D9D9D9"/>
          </w:tcPr>
          <w:p>
            <w:pPr>
              <w:spacing w:before="60" w:after="60"/>
            </w:pPr>
            <w:r/>
            <w:r>
              <w:rPr>
                <w:rFonts w:ascii="Calibri" w:hAnsi="Calibri"/>
                <w:b/>
                <w:color w:val="000000"/>
                <w:sz w:val="18"/>
              </w:rPr>
              <w:t>Doublons exacts</w:t>
            </w:r>
          </w:p>
        </w:tc>
        <w:tc>
          <w:tcPr>
            <w:tcW w:type="dxa" w:w="3362"/>
            <w:shd w:val="clear" w:color="auto" w:fill="D9D9D9"/>
          </w:tcPr>
          <w:p>
            <w:pPr>
              <w:spacing w:before="60" w:after="60"/>
            </w:pPr>
            <w:r/>
            <w:r>
              <w:rPr>
                <w:rFonts w:ascii="Calibri" w:hAnsi="Calibri"/>
                <w:b/>
                <w:color w:val="000000"/>
                <w:sz w:val="18"/>
              </w:rPr>
              <w:t>Groupes de quasi-doublons</w:t>
            </w:r>
          </w:p>
        </w:tc>
      </w:tr>
      <w:tr>
        <w:trPr>
          <w:cantSplit/>
        </w:trPr>
        <w:tc>
          <w:tcPr>
            <w:tcW w:type="dxa" w:w="3362"/>
          </w:tcPr>
          <w:p>
            <w:pPr>
              <w:spacing w:before="60" w:after="60" w:line="259" w:lineRule="auto"/>
            </w:pPr>
            <w:r/>
            <w:r>
              <w:rPr>
                <w:rFonts w:ascii="Calibri" w:hAnsi="Calibri"/>
                <w:b w:val="0"/>
                <w:i w:val="0"/>
                <w:color w:val="1A1A1A"/>
                <w:sz w:val="18"/>
              </w:rPr>
              <w:t>Tomate - Saine</w:t>
            </w:r>
          </w:p>
        </w:tc>
        <w:tc>
          <w:tcPr>
            <w:tcW w:type="dxa" w:w="3362"/>
          </w:tcPr>
          <w:p>
            <w:pPr>
              <w:spacing w:before="60" w:after="60" w:line="259" w:lineRule="auto"/>
            </w:pPr>
            <w:r/>
            <w:r>
              <w:rPr>
                <w:rFonts w:ascii="Calibri" w:hAnsi="Calibri"/>
                <w:b w:val="0"/>
                <w:i w:val="0"/>
                <w:color w:val="1A1A1A"/>
                <w:sz w:val="18"/>
              </w:rPr>
              <w:t>6</w:t>
            </w:r>
          </w:p>
        </w:tc>
        <w:tc>
          <w:tcPr>
            <w:tcW w:type="dxa" w:w="3362"/>
          </w:tcPr>
          <w:p>
            <w:pPr>
              <w:spacing w:before="60" w:after="60" w:line="259" w:lineRule="auto"/>
            </w:pPr>
            <w:r/>
            <w:r>
              <w:rPr>
                <w:rFonts w:ascii="Calibri" w:hAnsi="Calibri"/>
                <w:b w:val="0"/>
                <w:i w:val="0"/>
                <w:color w:val="1A1A1A"/>
                <w:sz w:val="18"/>
              </w:rPr>
              <w:t>20</w:t>
            </w:r>
          </w:p>
        </w:tc>
      </w:tr>
      <w:tr>
        <w:trPr>
          <w:cantSplit/>
        </w:trPr>
        <w:tc>
          <w:tcPr>
            <w:tcW w:type="dxa" w:w="3362"/>
            <w:shd w:val="clear" w:color="auto" w:fill="F4F4F4"/>
          </w:tcPr>
          <w:p>
            <w:pPr>
              <w:spacing w:before="60" w:after="60" w:line="259" w:lineRule="auto"/>
            </w:pPr>
            <w:r/>
            <w:r>
              <w:rPr>
                <w:rFonts w:ascii="Calibri" w:hAnsi="Calibri"/>
                <w:b w:val="0"/>
                <w:i w:val="0"/>
                <w:color w:val="1A1A1A"/>
                <w:sz w:val="18"/>
              </w:rPr>
              <w:t>Tomate - Mildiou tardif</w:t>
            </w:r>
          </w:p>
        </w:tc>
        <w:tc>
          <w:tcPr>
            <w:tcW w:type="dxa" w:w="3362"/>
            <w:shd w:val="clear" w:color="auto" w:fill="F4F4F4"/>
          </w:tcPr>
          <w:p>
            <w:pPr>
              <w:spacing w:before="60" w:after="60" w:line="259" w:lineRule="auto"/>
            </w:pPr>
            <w:r/>
            <w:r>
              <w:rPr>
                <w:rFonts w:ascii="Calibri" w:hAnsi="Calibri"/>
                <w:b w:val="0"/>
                <w:i w:val="0"/>
                <w:color w:val="1A1A1A"/>
                <w:sz w:val="18"/>
              </w:rPr>
              <w:t>8</w:t>
            </w:r>
          </w:p>
        </w:tc>
        <w:tc>
          <w:tcPr>
            <w:tcW w:type="dxa" w:w="3362"/>
            <w:shd w:val="clear" w:color="auto" w:fill="F4F4F4"/>
          </w:tcPr>
          <w:p>
            <w:pPr>
              <w:spacing w:before="60" w:after="60" w:line="259" w:lineRule="auto"/>
            </w:pPr>
            <w:r/>
            <w:r>
              <w:rPr>
                <w:rFonts w:ascii="Calibri" w:hAnsi="Calibri"/>
                <w:b w:val="0"/>
                <w:i w:val="0"/>
                <w:color w:val="1A1A1A"/>
                <w:sz w:val="18"/>
              </w:rPr>
              <w:t>11</w:t>
            </w:r>
          </w:p>
        </w:tc>
      </w:tr>
      <w:tr>
        <w:trPr>
          <w:cantSplit/>
        </w:trPr>
        <w:tc>
          <w:tcPr>
            <w:tcW w:type="dxa" w:w="3362"/>
          </w:tcPr>
          <w:p>
            <w:pPr>
              <w:spacing w:before="60" w:after="60" w:line="259" w:lineRule="auto"/>
            </w:pPr>
            <w:r/>
            <w:r>
              <w:rPr>
                <w:rFonts w:ascii="Calibri" w:hAnsi="Calibri"/>
                <w:b w:val="0"/>
                <w:i w:val="0"/>
                <w:color w:val="1A1A1A"/>
                <w:sz w:val="18"/>
              </w:rPr>
              <w:t>Tomate - Tache bactérienne</w:t>
            </w:r>
          </w:p>
        </w:tc>
        <w:tc>
          <w:tcPr>
            <w:tcW w:type="dxa" w:w="3362"/>
          </w:tcPr>
          <w:p>
            <w:pPr>
              <w:spacing w:before="60" w:after="60" w:line="259" w:lineRule="auto"/>
            </w:pPr>
            <w:r/>
            <w:r>
              <w:rPr>
                <w:rFonts w:ascii="Calibri" w:hAnsi="Calibri"/>
                <w:b w:val="0"/>
                <w:i w:val="0"/>
                <w:color w:val="1A1A1A"/>
                <w:sz w:val="18"/>
              </w:rPr>
              <w:t>0</w:t>
            </w:r>
          </w:p>
        </w:tc>
        <w:tc>
          <w:tcPr>
            <w:tcW w:type="dxa" w:w="3362"/>
          </w:tcPr>
          <w:p>
            <w:pPr>
              <w:spacing w:before="60" w:after="60" w:line="259" w:lineRule="auto"/>
            </w:pPr>
            <w:r/>
            <w:r>
              <w:rPr>
                <w:rFonts w:ascii="Calibri" w:hAnsi="Calibri"/>
                <w:b w:val="0"/>
                <w:i w:val="0"/>
                <w:color w:val="1A1A1A"/>
                <w:sz w:val="18"/>
              </w:rPr>
              <w:t>13</w:t>
            </w:r>
          </w:p>
        </w:tc>
      </w:tr>
      <w:tr>
        <w:trPr>
          <w:cantSplit/>
        </w:trPr>
        <w:tc>
          <w:tcPr>
            <w:tcW w:type="dxa" w:w="3362"/>
            <w:shd w:val="clear" w:color="auto" w:fill="F4F4F4"/>
          </w:tcPr>
          <w:p>
            <w:pPr>
              <w:spacing w:before="60" w:after="60" w:line="259" w:lineRule="auto"/>
            </w:pPr>
            <w:r/>
            <w:r>
              <w:rPr>
                <w:rFonts w:ascii="Calibri" w:hAnsi="Calibri"/>
                <w:b w:val="0"/>
                <w:i w:val="0"/>
                <w:color w:val="1A1A1A"/>
                <w:sz w:val="18"/>
              </w:rPr>
              <w:t>Poivron - Sain</w:t>
            </w:r>
          </w:p>
        </w:tc>
        <w:tc>
          <w:tcPr>
            <w:tcW w:type="dxa" w:w="3362"/>
            <w:shd w:val="clear" w:color="auto" w:fill="F4F4F4"/>
          </w:tcPr>
          <w:p>
            <w:pPr>
              <w:spacing w:before="60" w:after="60" w:line="259" w:lineRule="auto"/>
            </w:pPr>
            <w:r/>
            <w:r>
              <w:rPr>
                <w:rFonts w:ascii="Calibri" w:hAnsi="Calibri"/>
                <w:b w:val="0"/>
                <w:i w:val="0"/>
                <w:color w:val="1A1A1A"/>
                <w:sz w:val="18"/>
              </w:rPr>
              <w:t>0</w:t>
            </w:r>
          </w:p>
        </w:tc>
        <w:tc>
          <w:tcPr>
            <w:tcW w:type="dxa" w:w="3362"/>
            <w:shd w:val="clear" w:color="auto" w:fill="F4F4F4"/>
          </w:tcPr>
          <w:p>
            <w:pPr>
              <w:spacing w:before="60" w:after="60" w:line="259" w:lineRule="auto"/>
            </w:pPr>
            <w:r/>
            <w:r>
              <w:rPr>
                <w:rFonts w:ascii="Calibri" w:hAnsi="Calibri"/>
                <w:b w:val="0"/>
                <w:i w:val="0"/>
                <w:color w:val="1A1A1A"/>
                <w:sz w:val="18"/>
              </w:rPr>
              <w:t>4</w:t>
            </w:r>
          </w:p>
        </w:tc>
      </w:tr>
      <w:tr>
        <w:trPr>
          <w:cantSplit/>
        </w:trPr>
        <w:tc>
          <w:tcPr>
            <w:tcW w:type="dxa" w:w="3362"/>
          </w:tcPr>
          <w:p>
            <w:pPr>
              <w:spacing w:before="60" w:after="60" w:line="259" w:lineRule="auto"/>
            </w:pPr>
            <w:r/>
            <w:r>
              <w:rPr>
                <w:rFonts w:ascii="Calibri" w:hAnsi="Calibri"/>
                <w:b w:val="0"/>
                <w:i w:val="0"/>
                <w:color w:val="1A1A1A"/>
                <w:sz w:val="18"/>
              </w:rPr>
              <w:t>Maïs - Sain</w:t>
            </w:r>
          </w:p>
        </w:tc>
        <w:tc>
          <w:tcPr>
            <w:tcW w:type="dxa" w:w="3362"/>
          </w:tcPr>
          <w:p>
            <w:pPr>
              <w:spacing w:before="60" w:after="60" w:line="259" w:lineRule="auto"/>
            </w:pPr>
            <w:r/>
            <w:r>
              <w:rPr>
                <w:rFonts w:ascii="Calibri" w:hAnsi="Calibri"/>
                <w:b w:val="0"/>
                <w:i w:val="0"/>
                <w:color w:val="1A1A1A"/>
                <w:sz w:val="18"/>
              </w:rPr>
              <w:t>0</w:t>
            </w:r>
          </w:p>
        </w:tc>
        <w:tc>
          <w:tcPr>
            <w:tcW w:type="dxa" w:w="3362"/>
          </w:tcPr>
          <w:p>
            <w:pPr>
              <w:spacing w:before="60" w:after="60" w:line="259" w:lineRule="auto"/>
            </w:pPr>
            <w:r/>
            <w:r>
              <w:rPr>
                <w:rFonts w:ascii="Calibri" w:hAnsi="Calibri"/>
                <w:b w:val="0"/>
                <w:i w:val="0"/>
                <w:color w:val="1A1A1A"/>
                <w:sz w:val="18"/>
              </w:rPr>
              <w:t>1</w:t>
            </w:r>
          </w:p>
        </w:tc>
      </w:tr>
      <w:tr>
        <w:trPr>
          <w:cantSplit/>
        </w:trPr>
        <w:tc>
          <w:tcPr>
            <w:tcW w:type="dxa" w:w="3362"/>
            <w:shd w:val="clear" w:color="auto" w:fill="F4F4F4"/>
          </w:tcPr>
          <w:p>
            <w:pPr>
              <w:spacing w:before="60" w:after="60" w:line="259" w:lineRule="auto"/>
            </w:pPr>
            <w:r/>
            <w:r>
              <w:rPr>
                <w:rFonts w:ascii="Calibri" w:hAnsi="Calibri"/>
                <w:b w:val="0"/>
                <w:i w:val="0"/>
                <w:color w:val="1A1A1A"/>
                <w:sz w:val="18"/>
              </w:rPr>
              <w:t>Les cinq autres classes</w:t>
            </w:r>
          </w:p>
        </w:tc>
        <w:tc>
          <w:tcPr>
            <w:tcW w:type="dxa" w:w="3362"/>
            <w:shd w:val="clear" w:color="auto" w:fill="F4F4F4"/>
          </w:tcPr>
          <w:p>
            <w:pPr>
              <w:spacing w:before="60" w:after="60" w:line="259" w:lineRule="auto"/>
            </w:pPr>
            <w:r/>
            <w:r>
              <w:rPr>
                <w:rFonts w:ascii="Calibri" w:hAnsi="Calibri"/>
                <w:b w:val="0"/>
                <w:i w:val="0"/>
                <w:color w:val="1A1A1A"/>
                <w:sz w:val="18"/>
              </w:rPr>
              <w:t>0</w:t>
            </w:r>
          </w:p>
        </w:tc>
        <w:tc>
          <w:tcPr>
            <w:tcW w:type="dxa" w:w="3362"/>
            <w:shd w:val="clear" w:color="auto" w:fill="F4F4F4"/>
          </w:tcPr>
          <w:p>
            <w:pPr>
              <w:spacing w:before="60" w:after="60" w:line="259" w:lineRule="auto"/>
            </w:pPr>
            <w:r/>
            <w:r>
              <w:rPr>
                <w:rFonts w:ascii="Calibri" w:hAnsi="Calibri"/>
                <w:b w:val="0"/>
                <w:i w:val="0"/>
                <w:color w:val="1A1A1A"/>
                <w:sz w:val="18"/>
              </w:rPr>
              <w:t>0</w:t>
            </w:r>
          </w:p>
        </w:tc>
      </w:tr>
    </w:tbl>
    <w:p>
      <w:pPr>
        <w:spacing w:before="60" w:after="160"/>
        <w:jc w:val="left"/>
      </w:pPr>
      <w:r>
        <w:rPr>
          <w:rFonts w:ascii="Calibri" w:hAnsi="Calibri"/>
          <w:b/>
          <w:color w:val="000000"/>
          <w:sz w:val="18"/>
        </w:rPr>
        <w:t xml:space="preserve">Tableau 3. </w:t>
      </w:r>
      <w:r>
        <w:rPr>
          <w:rFonts w:ascii="Calibri" w:hAnsi="Calibri"/>
          <w:i/>
          <w:color w:val="595959"/>
          <w:sz w:val="18"/>
        </w:rPr>
        <w:t>Doublons détectés, en nombre de groupes. Source : reports/corpus_stats.md.</w:t>
      </w:r>
    </w:p>
    <w:p>
      <w:pPr>
        <w:spacing w:before="40" w:after="100" w:line="252" w:lineRule="auto"/>
        <w:jc w:val="both"/>
      </w:pPr>
      <w:r>
        <w:rPr>
          <w:rFonts w:ascii="Calibri" w:hAnsi="Calibri"/>
          <w:b w:val="0"/>
          <w:i w:val="0"/>
          <w:color w:val="1A1A1A"/>
          <w:sz w:val="21"/>
        </w:rPr>
        <w:t>La règle appliquée est la suivante : toutes les images d'un même groupe de quasi-doublons sont placées dans la même partie du découpage, entraînement, validation ou test, jamais réparties entre plusieurs. Cette précaution décide de la validité de tous les chiffres du rapport. Sans elle, une image du jeu de test pourrait avoir sa quasi-jumelle dans le jeu d'entraînement : le modèle serait alors en partie noté sur des images qu'il a déjà vues sous une forme très proche, et le chiffre d'exactitude obtenu serait à la fois plus flatteur et faux. Cette précaution ne figurait pas dans le sujet du projet ; elle a été ajoutée parce que la fuite de données est l'un des pièges les plus courants et les plus discrets d'un projet de classification d'images.</w:t>
      </w:r>
    </w:p>
    <w:p>
      <w:pPr>
        <w:pStyle w:val="Heading2"/>
        <w:spacing w:before="200" w:after="60" w:line="252" w:lineRule="auto"/>
        <w:jc w:val="left"/>
        <w:keepLines/>
        <w:keepNext/>
      </w:pPr>
      <w:r>
        <w:rPr>
          <w:rFonts w:ascii="Calibri" w:hAnsi="Calibri"/>
          <w:b/>
          <w:color w:val="000000"/>
          <w:sz w:val="25"/>
        </w:rPr>
        <w:t>Le découpage</w:t>
      </w:r>
    </w:p>
    <w:tbl>
      <w:tblPr>
        <w:tblStyle w:val="TableGrid"/>
        <w:tblW w:type="auto" w:w="0"/>
        <w:jc w:val="left"/>
        <w:tblLook w:firstColumn="1" w:firstRow="1" w:lastColumn="0" w:lastRow="0" w:noHBand="0" w:noVBand="1" w:val="04A0"/>
      </w:tblPr>
      <w:tblGrid>
        <w:gridCol w:w="3362"/>
        <w:gridCol w:w="3362"/>
        <w:gridCol w:w="3362"/>
      </w:tblGrid>
      <w:tr>
        <w:trPr>
          <w:tblHeader/>
          <w:cantSplit/>
        </w:trPr>
        <w:tc>
          <w:tcPr>
            <w:tcW w:type="dxa" w:w="3362"/>
            <w:shd w:val="clear" w:color="auto" w:fill="D9D9D9"/>
          </w:tcPr>
          <w:p>
            <w:pPr>
              <w:spacing w:before="60" w:after="60"/>
              <w:keepLines/>
              <w:keepNext/>
            </w:pPr>
            <w:r/>
            <w:r>
              <w:rPr>
                <w:rFonts w:ascii="Calibri" w:hAnsi="Calibri"/>
                <w:b/>
                <w:color w:val="000000"/>
                <w:sz w:val="18"/>
              </w:rPr>
              <w:t>Partie</w:t>
            </w:r>
          </w:p>
        </w:tc>
        <w:tc>
          <w:tcPr>
            <w:tcW w:type="dxa" w:w="3362"/>
            <w:shd w:val="clear" w:color="auto" w:fill="D9D9D9"/>
          </w:tcPr>
          <w:p>
            <w:pPr>
              <w:spacing w:before="60" w:after="60"/>
              <w:keepLines/>
              <w:keepNext/>
            </w:pPr>
            <w:r/>
            <w:r>
              <w:rPr>
                <w:rFonts w:ascii="Calibri" w:hAnsi="Calibri"/>
                <w:b/>
                <w:color w:val="000000"/>
                <w:sz w:val="18"/>
              </w:rPr>
              <w:t>Images</w:t>
            </w:r>
          </w:p>
        </w:tc>
        <w:tc>
          <w:tcPr>
            <w:tcW w:type="dxa" w:w="3362"/>
            <w:shd w:val="clear" w:color="auto" w:fill="D9D9D9"/>
          </w:tcPr>
          <w:p>
            <w:pPr>
              <w:spacing w:before="60" w:after="60"/>
              <w:keepLines/>
              <w:keepNext/>
            </w:pPr>
            <w:r/>
            <w:r>
              <w:rPr>
                <w:rFonts w:ascii="Calibri" w:hAnsi="Calibri"/>
                <w:b/>
                <w:color w:val="000000"/>
                <w:sz w:val="18"/>
              </w:rPr>
              <w:t>Proportion</w:t>
            </w:r>
          </w:p>
        </w:tc>
      </w:tr>
      <w:tr>
        <w:trPr>
          <w:cantSplit/>
        </w:trPr>
        <w:tc>
          <w:tcPr>
            <w:tcW w:type="dxa" w:w="3362"/>
          </w:tcPr>
          <w:p>
            <w:pPr>
              <w:spacing w:before="60" w:after="60" w:line="259" w:lineRule="auto"/>
              <w:keepLines/>
              <w:keepNext/>
            </w:pPr>
            <w:r/>
            <w:r>
              <w:rPr>
                <w:rFonts w:ascii="Calibri" w:hAnsi="Calibri"/>
                <w:b w:val="0"/>
                <w:i w:val="0"/>
                <w:color w:val="1A1A1A"/>
                <w:sz w:val="18"/>
              </w:rPr>
              <w:t>Entraînement</w:t>
            </w:r>
          </w:p>
        </w:tc>
        <w:tc>
          <w:tcPr>
            <w:tcW w:type="dxa" w:w="3362"/>
          </w:tcPr>
          <w:p>
            <w:pPr>
              <w:spacing w:before="60" w:after="60" w:line="259" w:lineRule="auto"/>
              <w:keepLines/>
              <w:keepNext/>
            </w:pPr>
            <w:r/>
            <w:r>
              <w:rPr>
                <w:rFonts w:ascii="Calibri" w:hAnsi="Calibri"/>
                <w:b w:val="0"/>
                <w:i w:val="0"/>
                <w:color w:val="1A1A1A"/>
                <w:sz w:val="18"/>
              </w:rPr>
              <w:t>9 597</w:t>
            </w:r>
          </w:p>
        </w:tc>
        <w:tc>
          <w:tcPr>
            <w:tcW w:type="dxa" w:w="3362"/>
          </w:tcPr>
          <w:p>
            <w:pPr>
              <w:spacing w:before="60" w:after="60" w:line="259" w:lineRule="auto"/>
              <w:keepLines/>
              <w:keepNext/>
            </w:pPr>
            <w:r/>
            <w:r>
              <w:rPr>
                <w:rFonts w:ascii="Calibri" w:hAnsi="Calibri"/>
                <w:b w:val="0"/>
                <w:i w:val="0"/>
                <w:color w:val="1A1A1A"/>
                <w:sz w:val="18"/>
              </w:rPr>
              <w:t>70 %</w:t>
            </w:r>
          </w:p>
        </w:tc>
      </w:tr>
      <w:tr>
        <w:trPr>
          <w:cantSplit/>
        </w:trPr>
        <w:tc>
          <w:tcPr>
            <w:tcW w:type="dxa" w:w="3362"/>
            <w:shd w:val="clear" w:color="auto" w:fill="F4F4F4"/>
          </w:tcPr>
          <w:p>
            <w:pPr>
              <w:spacing w:before="60" w:after="60" w:line="259" w:lineRule="auto"/>
              <w:keepLines/>
              <w:keepNext/>
            </w:pPr>
            <w:r/>
            <w:r>
              <w:rPr>
                <w:rFonts w:ascii="Calibri" w:hAnsi="Calibri"/>
                <w:b w:val="0"/>
                <w:i w:val="0"/>
                <w:color w:val="1A1A1A"/>
                <w:sz w:val="18"/>
              </w:rPr>
              <w:t>Validation</w:t>
            </w:r>
          </w:p>
        </w:tc>
        <w:tc>
          <w:tcPr>
            <w:tcW w:type="dxa" w:w="3362"/>
            <w:shd w:val="clear" w:color="auto" w:fill="F4F4F4"/>
          </w:tcPr>
          <w:p>
            <w:pPr>
              <w:spacing w:before="60" w:after="60" w:line="259" w:lineRule="auto"/>
              <w:keepLines/>
              <w:keepNext/>
            </w:pPr>
            <w:r/>
            <w:r>
              <w:rPr>
                <w:rFonts w:ascii="Calibri" w:hAnsi="Calibri"/>
                <w:b w:val="0"/>
                <w:i w:val="0"/>
                <w:color w:val="1A1A1A"/>
                <w:sz w:val="18"/>
              </w:rPr>
              <w:t>2 058</w:t>
            </w:r>
          </w:p>
        </w:tc>
        <w:tc>
          <w:tcPr>
            <w:tcW w:type="dxa" w:w="3362"/>
            <w:shd w:val="clear" w:color="auto" w:fill="F4F4F4"/>
          </w:tcPr>
          <w:p>
            <w:pPr>
              <w:spacing w:before="60" w:after="60" w:line="259" w:lineRule="auto"/>
              <w:keepLines/>
              <w:keepNext/>
            </w:pPr>
            <w:r/>
            <w:r>
              <w:rPr>
                <w:rFonts w:ascii="Calibri" w:hAnsi="Calibri"/>
                <w:b w:val="0"/>
                <w:i w:val="0"/>
                <w:color w:val="1A1A1A"/>
                <w:sz w:val="18"/>
              </w:rPr>
              <w:t>15 %</w:t>
            </w:r>
          </w:p>
        </w:tc>
      </w:tr>
      <w:tr>
        <w:trPr>
          <w:cantSplit/>
        </w:trPr>
        <w:tc>
          <w:tcPr>
            <w:tcW w:type="dxa" w:w="3362"/>
          </w:tcPr>
          <w:p>
            <w:pPr>
              <w:spacing w:before="60" w:after="60" w:line="259" w:lineRule="auto"/>
            </w:pPr>
            <w:r/>
            <w:r>
              <w:rPr>
                <w:rFonts w:ascii="Calibri" w:hAnsi="Calibri"/>
                <w:b w:val="0"/>
                <w:i w:val="0"/>
                <w:color w:val="1A1A1A"/>
                <w:sz w:val="18"/>
              </w:rPr>
              <w:t>Test</w:t>
            </w:r>
          </w:p>
        </w:tc>
        <w:tc>
          <w:tcPr>
            <w:tcW w:type="dxa" w:w="3362"/>
          </w:tcPr>
          <w:p>
            <w:pPr>
              <w:spacing w:before="60" w:after="60" w:line="259" w:lineRule="auto"/>
            </w:pPr>
            <w:r/>
            <w:r>
              <w:rPr>
                <w:rFonts w:ascii="Calibri" w:hAnsi="Calibri"/>
                <w:b w:val="0"/>
                <w:i w:val="0"/>
                <w:color w:val="1A1A1A"/>
                <w:sz w:val="18"/>
              </w:rPr>
              <w:t>2 056</w:t>
            </w:r>
          </w:p>
        </w:tc>
        <w:tc>
          <w:tcPr>
            <w:tcW w:type="dxa" w:w="3362"/>
          </w:tcPr>
          <w:p>
            <w:pPr>
              <w:spacing w:before="60" w:after="60" w:line="259" w:lineRule="auto"/>
            </w:pPr>
            <w:r/>
            <w:r>
              <w:rPr>
                <w:rFonts w:ascii="Calibri" w:hAnsi="Calibri"/>
                <w:b w:val="0"/>
                <w:i w:val="0"/>
                <w:color w:val="1A1A1A"/>
                <w:sz w:val="18"/>
              </w:rPr>
              <w:t>15 %</w:t>
            </w:r>
          </w:p>
        </w:tc>
      </w:tr>
    </w:tbl>
    <w:p>
      <w:pPr>
        <w:spacing w:before="60" w:after="160"/>
        <w:jc w:val="left"/>
      </w:pPr>
      <w:r>
        <w:rPr>
          <w:rFonts w:ascii="Calibri" w:hAnsi="Calibri"/>
          <w:b/>
          <w:color w:val="000000"/>
          <w:sz w:val="18"/>
        </w:rPr>
        <w:t xml:space="preserve">Tableau 4. </w:t>
      </w:r>
      <w:r>
        <w:rPr>
          <w:rFonts w:ascii="Calibri" w:hAnsi="Calibri"/>
          <w:i/>
          <w:color w:val="595959"/>
          <w:sz w:val="18"/>
        </w:rPr>
        <w:t>Découpage du corpus. Graine aléatoire fixée à 42. Source : reports/split_report.md.</w:t>
      </w:r>
    </w:p>
    <w:p>
      <w:pPr>
        <w:spacing w:before="40" w:after="100" w:line="252" w:lineRule="auto"/>
        <w:jc w:val="both"/>
      </w:pPr>
      <w:r>
        <w:rPr>
          <w:rFonts w:ascii="Calibri" w:hAnsi="Calibri"/>
          <w:b w:val="0"/>
          <w:i w:val="0"/>
          <w:color w:val="1A1A1A"/>
          <w:sz w:val="21"/>
        </w:rPr>
        <w:t xml:space="preserve">Le découpage est stratifié : chaque classe conserve, dans chacune des trois parties, une proportion proche de celle qu'elle occupe dans le corpus entier. Il est consigné image par image dans </w:t>
      </w:r>
      <w:r>
        <w:rPr>
          <w:rFonts w:ascii="Consolas" w:hAnsi="Consolas"/>
          <w:b w:val="0"/>
          <w:i w:val="0"/>
          <w:color w:val="1A1A1A"/>
          <w:sz w:val="20"/>
        </w:rPr>
        <w:t>reports/split_manifest.csv</w:t>
      </w:r>
      <w:r>
        <w:rPr>
          <w:rFonts w:ascii="Calibri" w:hAnsi="Calibri"/>
          <w:b w:val="0"/>
          <w:i w:val="0"/>
          <w:color w:val="1A1A1A"/>
          <w:sz w:val="21"/>
        </w:rPr>
        <w:t>, versé dans le dépôt. Ce manifeste est relu par les notebooks d'entraînement plutôt que recalculé à chaque fois, pour une raison précise : tout nouveau modèle entraîné plus tard reste ainsi comparé sur exactement le même jeu de test que les précédents. Sans ce manifeste fixe, la comparaison entre les versions 1 et 2 du modèle, faite au chapitre 7, n'aurait aucune valeur : un écart de performance pourrait alors venir d'un découpage différent plutôt que d'une amélioration réelle du modèle.</w:t>
      </w:r>
    </w:p>
    <w:p>
      <w:pPr>
        <w:pStyle w:val="Heading2"/>
        <w:spacing w:before="200" w:after="60" w:line="252" w:lineRule="auto"/>
        <w:jc w:val="left"/>
        <w:keepLines/>
        <w:keepNext/>
      </w:pPr>
      <w:r>
        <w:rPr>
          <w:rFonts w:ascii="Calibri" w:hAnsi="Calibri"/>
          <w:b/>
          <w:color w:val="000000"/>
          <w:sz w:val="25"/>
        </w:rPr>
        <w:t>PlantWild, ajouté pour la version 2</w:t>
      </w:r>
    </w:p>
    <w:p>
      <w:pPr>
        <w:spacing w:before="40" w:after="100" w:line="252" w:lineRule="auto"/>
        <w:jc w:val="both"/>
      </w:pPr>
      <w:r>
        <w:rPr>
          <w:rFonts w:ascii="Calibri" w:hAnsi="Calibri"/>
          <w:b w:val="0"/>
          <w:i w:val="0"/>
          <w:color w:val="1A1A1A"/>
          <w:sz w:val="21"/>
        </w:rPr>
        <w:t>PlantWild est un corpus d'images de terrain, ajouté lors de la construction de la version 2 du modèle, pour un volume de 1 765 images. Ce que cet ajout apporte concrètement est mesuré au chapitre 7.</w:t>
      </w:r>
    </w:p>
    <w:p>
      <w:pPr>
        <w:spacing w:before="40" w:after="100" w:line="252" w:lineRule="auto"/>
        <w:jc w:val="both"/>
      </w:pPr>
      <w:r>
        <w:rPr>
          <w:rFonts w:ascii="Calibri" w:hAnsi="Calibri"/>
          <w:b w:val="0"/>
          <w:i w:val="0"/>
          <w:color w:val="1A1A1A"/>
          <w:sz w:val="21"/>
        </w:rPr>
        <w:t>PlantWild est distribué sous licence CC BY-NC-ND 4.0 : usage non commercial, sans œuvre dérivée, attribution obligatoire. Le projet, un travail académique sans exploitation commerciale, respecte la première condition. La question de savoir si un modèle entraîné à partir de ces images constitue une œuvre dérivée au sens de la clause ND n'est pas tranchée ; le chapitre 9 développe cette réserve.</w:t>
      </w:r>
    </w:p>
    <w:p>
      <w:pPr>
        <w:pStyle w:val="Heading2"/>
        <w:spacing w:before="200" w:after="60" w:line="252" w:lineRule="auto"/>
        <w:jc w:val="left"/>
        <w:keepLines/>
        <w:keepNext/>
      </w:pPr>
      <w:r>
        <w:rPr>
          <w:rFonts w:ascii="Calibri" w:hAnsi="Calibri"/>
          <w:b/>
          <w:color w:val="000000"/>
          <w:sz w:val="25"/>
        </w:rPr>
        <w:t>PlantDoc, réservé à l'évaluation</w:t>
      </w:r>
    </w:p>
    <w:p>
      <w:pPr>
        <w:spacing w:before="40" w:after="100" w:line="252" w:lineRule="auto"/>
        <w:jc w:val="both"/>
      </w:pPr>
      <w:r>
        <w:rPr>
          <w:rFonts w:ascii="Calibri" w:hAnsi="Calibri"/>
          <w:b w:val="0"/>
          <w:i w:val="0"/>
          <w:color w:val="1A1A1A"/>
          <w:sz w:val="21"/>
        </w:rPr>
        <w:t>PlantDoc apporte 942 images exploitables, après mise en correspondance de ses catégories avec les dix classes du projet. Ce corpus n'a jamais servi à l'entraînement d'aucune version du modèle, ni la v1 ni la v2. C'est précisément ce qui donne leur valeur aux mesures du chapitre 6 : PlantDoc est le seul jeu sur lequel le modèle est évalué sans jamais l'avoir vu, même indirectement.</w:t>
      </w:r>
    </w:p>
    <w:p>
      <w:pPr>
        <w:spacing w:before="40" w:after="100" w:line="252" w:lineRule="auto"/>
        <w:jc w:val="both"/>
      </w:pPr>
      <w:r>
        <w:rPr>
          <w:rFonts w:ascii="Calibri" w:hAnsi="Calibri"/>
          <w:b w:val="0"/>
          <w:i w:val="0"/>
          <w:color w:val="1A1A1A"/>
          <w:sz w:val="21"/>
        </w:rPr>
        <w:t>La classe Maïs - Sain est absente de PlantDoc, elle n'a donc pas pu être évaluée. Le corpus n'est pas non plus parfaitement homogène : certaines de ses images sont prises sur fond uni, feuille détachée, dans des conditions proches de celles du studio ; le chapitre 8 en donne un exemple concret.</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AgriVision-AI    |    Chapitre 2    |    page </w:t>
    </w:r>
    <w:r>
      <w:rPr>
        <w:rFonts w:ascii="Calibri" w:hAnsi="Calibri"/>
        <w:b w:val="0"/>
        <w:color w:val="595959"/>
        <w:sz w:val="16"/>
      </w:rPr>
      <w:fldChar w:fldCharType="begin"/>
      <w:instrText xml:space="preserve">PAGE</w:instrText>
      <w:fldChar w:fldCharType="separate"/>
      <w:fldChar w:fldCharType="end"/>
    </w:r>
    <w:r>
      <w:rPr>
        <w:rFonts w:ascii="Calibri" w:hAnsi="Calibri"/>
        <w:color w:val="595959"/>
        <w:sz w:val="16"/>
      </w:rPr>
      <w:t xml:space="preserve"> sur </w:t>
    </w:r>
    <w:r>
      <w:rPr>
        <w:rFonts w:ascii="Calibri" w:hAnsi="Calibri"/>
        <w:b w:val="0"/>
        <w:color w:val="595959"/>
        <w:sz w:val="16"/>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AgriVision-AI : chapitre 2, Le corpus : constitution, nettoyage et découpage</dc:title>
  <dc:subject>Diagnostic des maladies des cultures par vision par ordinateur, et mesure honnête de ce qu'un tel modèle vaut au champ</dc:subject>
  <dc:creator>Cheick Oumar Doumbia</dc:creator>
  <cp:keywords/>
  <dc:description/>
  <cp:lastModifiedBy>Cheick Oumar Doumbia</cp:lastModifiedBy>
  <cp:revision>1</cp:revision>
  <dcterms:created xsi:type="dcterms:W3CDTF">2026-08-30T15:09:17Z</dcterms:created>
  <dcterms:modified xsi:type="dcterms:W3CDTF">2026-08-30T15:09:17Z</dcterms:modified>
  <cp:category/>
</cp:coreProperties>
</file>