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pPr>
      <w:r>
        <w:rPr>
          <w:rFonts w:ascii="Calibri" w:hAnsi="Calibri"/>
          <w:b w:val="0"/>
          <w:i w:val="0"/>
          <w:color w:val="595959"/>
          <w:sz w:val="18"/>
        </w:rPr>
        <w:t>Rapport De Projet</w:t>
      </w:r>
    </w:p>
    <w:p>
      <w:pPr>
        <w:spacing w:before="0" w:after="40" w:line="252" w:lineRule="auto"/>
      </w:pPr>
      <w:r>
        <w:rPr>
          <w:rFonts w:ascii="Calibri" w:hAnsi="Calibri"/>
          <w:b w:val="0"/>
          <w:i w:val="0"/>
          <w:color w:val="595959"/>
          <w:sz w:val="18"/>
        </w:rPr>
        <w:t>AgriVision-AI : Diagnostic des maladies des cultures par vision par ordinateur, et mesure honnête de ce qu'un tel modèle vaut au champ</w:t>
      </w:r>
    </w:p>
    <w:p>
      <w:pPr>
        <w:spacing w:before="0" w:after="200" w:line="252" w:lineRule="auto"/>
      </w:pPr>
      <w:r>
        <w:rPr>
          <w:rFonts w:ascii="Calibri" w:hAnsi="Calibri"/>
          <w:b w:val="0"/>
          <w:i/>
          <w:color w:val="595959"/>
          <w:sz w:val="18"/>
        </w:rPr>
        <w:t>Rédaction : Faustin Félicien Pikbougoum</w:t>
      </w:r>
    </w:p>
    <w:p>
      <w:pPr>
        <w:spacing w:before="0" w:after="40"/>
        <w:keepLines/>
        <w:keepNext/>
      </w:pPr>
      <w:r>
        <w:rPr>
          <w:rFonts w:ascii="Calibri" w:hAnsi="Calibri"/>
          <w:b/>
          <w:color w:val="595959"/>
          <w:sz w:val="19"/>
        </w:rPr>
        <w:t>CHAPITRE 5</w:t>
      </w:r>
    </w:p>
    <w:p>
      <w:pPr>
        <w:pStyle w:val="Heading1"/>
        <w:spacing w:before="0" w:after="80" w:line="252" w:lineRule="auto"/>
        <w:jc w:val="left"/>
        <w:keepLines/>
        <w:keepNext/>
      </w:pPr>
      <w:r>
        <w:rPr>
          <w:rFonts w:ascii="Calibri" w:hAnsi="Calibri"/>
          <w:b/>
          <w:color w:val="000000"/>
          <w:sz w:val="34"/>
        </w:rPr>
        <w:t>Résultats de la première version en conditions de studio</w:t>
      </w:r>
    </w:p>
    <w:p>
      <w:pPr>
        <w:spacing w:before="0" w:after="240"/>
        <w:pBdr>
          <w:bottom w:val="single" w:sz="8" w:space="1" w:color="808080"/>
        </w:pBdr>
        <w:keepLines/>
        <w:keepNext/>
      </w:pPr>
    </w:p>
    <w:p>
      <w:pPr>
        <w:spacing w:before="40" w:after="100" w:line="252" w:lineRule="auto"/>
        <w:jc w:val="both"/>
      </w:pPr>
      <w:r>
        <w:rPr>
          <w:rFonts w:ascii="Calibri" w:hAnsi="Calibri"/>
          <w:b w:val="0"/>
          <w:i w:val="0"/>
          <w:color w:val="1A1A1A"/>
          <w:sz w:val="21"/>
        </w:rPr>
        <w:t xml:space="preserve">La première version du modèle, </w:t>
      </w:r>
      <w:r>
        <w:rPr>
          <w:rFonts w:ascii="Consolas" w:hAnsi="Consolas"/>
          <w:b w:val="0"/>
          <w:i w:val="0"/>
          <w:color w:val="1A1A1A"/>
          <w:sz w:val="20"/>
        </w:rPr>
        <w:t>mobilenetv2-v1.0</w:t>
      </w:r>
      <w:r>
        <w:rPr>
          <w:rFonts w:ascii="Calibri" w:hAnsi="Calibri"/>
          <w:b w:val="0"/>
          <w:i w:val="0"/>
          <w:color w:val="1A1A1A"/>
          <w:sz w:val="21"/>
        </w:rPr>
        <w:t>, a été entraînée sur le seul corpus PlantVillage. Ce chapitre rend compte de ce qu'elle vaut sur le jeu de test issu de ce même corpus, c'est-à-dire dans les conditions exactes où elle a appris. Le chapitre 6 mesure ensuite ce qu'elle vaut ailleurs, et l'écart entre les deux est le résultat central du projet.</w:t>
      </w:r>
    </w:p>
    <w:p>
      <w:pPr>
        <w:pStyle w:val="Heading2"/>
        <w:spacing w:before="200" w:after="60" w:line="252" w:lineRule="auto"/>
        <w:jc w:val="left"/>
        <w:keepLines/>
        <w:keepNext/>
      </w:pPr>
      <w:r>
        <w:rPr>
          <w:rFonts w:ascii="Calibri" w:hAnsi="Calibri"/>
          <w:b/>
          <w:color w:val="000000"/>
          <w:sz w:val="25"/>
        </w:rPr>
        <w:t>Le jeu de test et sa constitution</w:t>
      </w:r>
    </w:p>
    <w:p>
      <w:pPr>
        <w:spacing w:before="40" w:after="100" w:line="252" w:lineRule="auto"/>
        <w:jc w:val="both"/>
      </w:pPr>
      <w:r>
        <w:rPr>
          <w:rFonts w:ascii="Calibri" w:hAnsi="Calibri"/>
          <w:b w:val="0"/>
          <w:i w:val="0"/>
          <w:color w:val="1A1A1A"/>
          <w:sz w:val="21"/>
        </w:rPr>
        <w:t xml:space="preserve">Le découpage vient de </w:t>
      </w:r>
      <w:r>
        <w:rPr>
          <w:rFonts w:ascii="Consolas" w:hAnsi="Consolas"/>
          <w:b w:val="0"/>
          <w:i w:val="0"/>
          <w:color w:val="1A1A1A"/>
          <w:sz w:val="20"/>
        </w:rPr>
        <w:t>reports/split_manifest.csv</w:t>
      </w:r>
      <w:r>
        <w:rPr>
          <w:rFonts w:ascii="Calibri" w:hAnsi="Calibri"/>
          <w:b w:val="0"/>
          <w:i w:val="0"/>
          <w:color w:val="1A1A1A"/>
          <w:sz w:val="21"/>
        </w:rPr>
        <w:t>, produit par le binôme A et figé une fois pour toutes. Il répartit les 13 725 images du corpus en 9 597 images d'entraînement, 2 058 de validation et 2 056 de test, selon des proportions de 70, 15 et 15 pour cent, avec une graine aléatoire fixée à 42.</w:t>
      </w:r>
    </w:p>
    <w:p>
      <w:pPr>
        <w:spacing w:before="40" w:after="100" w:line="252" w:lineRule="auto"/>
        <w:jc w:val="both"/>
      </w:pPr>
      <w:r>
        <w:rPr>
          <w:rFonts w:ascii="Calibri" w:hAnsi="Calibri"/>
          <w:b w:val="0"/>
          <w:i w:val="0"/>
          <w:color w:val="1A1A1A"/>
          <w:sz w:val="21"/>
        </w:rPr>
        <w:t>Deux précautions décrites au chapitre 2 méritent d'être rappelées ici, parce qu'elles conditionnent la lecture des chiffres qui suivent. Les doublons exacts ont été retirés, et les groupes d'images quasi identiques ont été maintenus dans une seule et même partie du découpage. Sans cela, une image du jeu de test aurait pu avoir sa jumelle dans le jeu d'entraînement, et le modèle aurait été noté sur des images qu'il avait déjà vues. Le chiffre d'exactitude aurait été plus flatteur, et faux.</w:t>
      </w:r>
    </w:p>
    <w:p>
      <w:pPr>
        <w:pStyle w:val="Heading2"/>
        <w:spacing w:before="200" w:after="60" w:line="252" w:lineRule="auto"/>
        <w:jc w:val="left"/>
        <w:keepLines/>
        <w:keepNext/>
      </w:pPr>
      <w:r>
        <w:rPr>
          <w:rFonts w:ascii="Calibri" w:hAnsi="Calibri"/>
          <w:b/>
          <w:color w:val="000000"/>
          <w:sz w:val="25"/>
        </w:rPr>
        <w:t>Résultats d'ensemble</w:t>
      </w:r>
    </w:p>
    <w:p>
      <w:pPr>
        <w:spacing w:before="40" w:after="100" w:line="252" w:lineRule="auto"/>
        <w:jc w:val="both"/>
      </w:pPr>
      <w:r>
        <w:rPr>
          <w:rFonts w:ascii="Calibri" w:hAnsi="Calibri"/>
          <w:b w:val="0"/>
          <w:i w:val="0"/>
          <w:color w:val="1A1A1A"/>
          <w:sz w:val="21"/>
        </w:rPr>
        <w:t xml:space="preserve">Sur les 2 056 images de test, le modèle atteint une exactitude de </w:t>
      </w:r>
      <w:r>
        <w:rPr>
          <w:rFonts w:ascii="Calibri" w:hAnsi="Calibri"/>
          <w:b/>
          <w:i w:val="0"/>
          <w:color w:val="1A1A1A"/>
          <w:sz w:val="21"/>
        </w:rPr>
        <w:t>96,64 pour cent</w:t>
      </w:r>
      <w:r>
        <w:rPr>
          <w:rFonts w:ascii="Calibri" w:hAnsi="Calibri"/>
          <w:b w:val="0"/>
          <w:i w:val="0"/>
          <w:color w:val="1A1A1A"/>
          <w:sz w:val="21"/>
        </w:rPr>
        <w:t>, pour une perte de 0,089 et un F1 macro de 0,9566.</w:t>
      </w:r>
    </w:p>
    <w:tbl>
      <w:tblPr>
        <w:tblStyle w:val="TableGrid"/>
        <w:tblW w:type="auto" w:w="0"/>
        <w:jc w:val="left"/>
        <w:tblLook w:firstColumn="1" w:firstRow="1" w:lastColumn="0" w:lastRow="0" w:noHBand="0" w:noVBand="1" w:val="04A0"/>
      </w:tblPr>
      <w:tblGrid>
        <w:gridCol w:w="5043"/>
        <w:gridCol w:w="5043"/>
      </w:tblGrid>
      <w:tr>
        <w:trPr>
          <w:tblHeader/>
          <w:cantSplit/>
        </w:trPr>
        <w:tc>
          <w:tcPr>
            <w:tcW w:type="dxa" w:w="5043"/>
            <w:shd w:val="clear" w:color="auto" w:fill="D9D9D9"/>
          </w:tcPr>
          <w:p>
            <w:pPr>
              <w:spacing w:before="60" w:after="60"/>
            </w:pPr>
            <w:r/>
            <w:r>
              <w:rPr>
                <w:rFonts w:ascii="Calibri" w:hAnsi="Calibri"/>
                <w:b/>
                <w:color w:val="000000"/>
                <w:sz w:val="18"/>
              </w:rPr>
              <w:t>Mesure</w:t>
            </w:r>
          </w:p>
        </w:tc>
        <w:tc>
          <w:tcPr>
            <w:tcW w:type="dxa" w:w="5043"/>
            <w:shd w:val="clear" w:color="auto" w:fill="D9D9D9"/>
          </w:tcPr>
          <w:p>
            <w:pPr>
              <w:spacing w:before="60" w:after="60"/>
            </w:pPr>
            <w:r/>
            <w:r>
              <w:rPr>
                <w:rFonts w:ascii="Calibri" w:hAnsi="Calibri"/>
                <w:b/>
                <w:color w:val="000000"/>
                <w:sz w:val="18"/>
              </w:rPr>
              <w:t>Valeur</w:t>
            </w:r>
          </w:p>
        </w:tc>
      </w:tr>
      <w:tr>
        <w:trPr>
          <w:cantSplit/>
        </w:trPr>
        <w:tc>
          <w:tcPr>
            <w:tcW w:type="dxa" w:w="5043"/>
          </w:tcPr>
          <w:p>
            <w:pPr>
              <w:spacing w:before="60" w:after="60" w:line="259" w:lineRule="auto"/>
            </w:pPr>
            <w:r/>
            <w:r>
              <w:rPr>
                <w:rFonts w:ascii="Calibri" w:hAnsi="Calibri"/>
                <w:b w:val="0"/>
                <w:i w:val="0"/>
                <w:color w:val="1A1A1A"/>
                <w:sz w:val="18"/>
              </w:rPr>
              <w:t>Exactitude</w:t>
            </w:r>
          </w:p>
        </w:tc>
        <w:tc>
          <w:tcPr>
            <w:tcW w:type="dxa" w:w="5043"/>
          </w:tcPr>
          <w:p>
            <w:pPr>
              <w:spacing w:before="60" w:after="60" w:line="259" w:lineRule="auto"/>
            </w:pPr>
            <w:r/>
            <w:r>
              <w:rPr>
                <w:rFonts w:ascii="Calibri" w:hAnsi="Calibri"/>
                <w:b w:val="0"/>
                <w:i w:val="0"/>
                <w:color w:val="1A1A1A"/>
                <w:sz w:val="18"/>
              </w:rPr>
              <w:t>96,64 %</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Perte (entropie croisée)</w:t>
            </w:r>
          </w:p>
        </w:tc>
        <w:tc>
          <w:tcPr>
            <w:tcW w:type="dxa" w:w="5043"/>
            <w:shd w:val="clear" w:color="auto" w:fill="F4F4F4"/>
          </w:tcPr>
          <w:p>
            <w:pPr>
              <w:spacing w:before="60" w:after="60" w:line="259" w:lineRule="auto"/>
            </w:pPr>
            <w:r/>
            <w:r>
              <w:rPr>
                <w:rFonts w:ascii="Calibri" w:hAnsi="Calibri"/>
                <w:b w:val="0"/>
                <w:i w:val="0"/>
                <w:color w:val="1A1A1A"/>
                <w:sz w:val="18"/>
              </w:rPr>
              <w:t>0,089</w:t>
            </w:r>
          </w:p>
        </w:tc>
      </w:tr>
      <w:tr>
        <w:trPr>
          <w:cantSplit/>
        </w:trPr>
        <w:tc>
          <w:tcPr>
            <w:tcW w:type="dxa" w:w="5043"/>
          </w:tcPr>
          <w:p>
            <w:pPr>
              <w:spacing w:before="60" w:after="60" w:line="259" w:lineRule="auto"/>
            </w:pPr>
            <w:r/>
            <w:r>
              <w:rPr>
                <w:rFonts w:ascii="Calibri" w:hAnsi="Calibri"/>
                <w:b w:val="0"/>
                <w:i w:val="0"/>
                <w:color w:val="1A1A1A"/>
                <w:sz w:val="18"/>
              </w:rPr>
              <w:t>F1 macro, 10 classes</w:t>
            </w:r>
          </w:p>
        </w:tc>
        <w:tc>
          <w:tcPr>
            <w:tcW w:type="dxa" w:w="5043"/>
          </w:tcPr>
          <w:p>
            <w:pPr>
              <w:spacing w:before="60" w:after="60" w:line="259" w:lineRule="auto"/>
            </w:pPr>
            <w:r/>
            <w:r>
              <w:rPr>
                <w:rFonts w:ascii="Calibri" w:hAnsi="Calibri"/>
                <w:b w:val="0"/>
                <w:i w:val="0"/>
                <w:color w:val="1A1A1A"/>
                <w:sz w:val="18"/>
              </w:rPr>
              <w:t>0,9566</w:t>
            </w:r>
          </w:p>
        </w:tc>
      </w:tr>
      <w:tr>
        <w:trPr>
          <w:cantSplit/>
        </w:trPr>
        <w:tc>
          <w:tcPr>
            <w:tcW w:type="dxa" w:w="5043"/>
            <w:shd w:val="clear" w:color="auto" w:fill="F4F4F4"/>
          </w:tcPr>
          <w:p>
            <w:pPr>
              <w:spacing w:before="60" w:after="60" w:line="259" w:lineRule="auto"/>
            </w:pPr>
            <w:r/>
            <w:r>
              <w:rPr>
                <w:rFonts w:ascii="Calibri" w:hAnsi="Calibri"/>
                <w:b w:val="0"/>
                <w:i w:val="0"/>
                <w:color w:val="1A1A1A"/>
                <w:sz w:val="18"/>
              </w:rPr>
              <w:t>F1 pondéré</w:t>
            </w:r>
          </w:p>
        </w:tc>
        <w:tc>
          <w:tcPr>
            <w:tcW w:type="dxa" w:w="5043"/>
            <w:shd w:val="clear" w:color="auto" w:fill="F4F4F4"/>
          </w:tcPr>
          <w:p>
            <w:pPr>
              <w:spacing w:before="60" w:after="60" w:line="259" w:lineRule="auto"/>
            </w:pPr>
            <w:r/>
            <w:r>
              <w:rPr>
                <w:rFonts w:ascii="Calibri" w:hAnsi="Calibri"/>
                <w:b w:val="0"/>
                <w:i w:val="0"/>
                <w:color w:val="1A1A1A"/>
                <w:sz w:val="18"/>
              </w:rPr>
              <w:t>0,9665</w:t>
            </w:r>
          </w:p>
        </w:tc>
      </w:tr>
      <w:tr>
        <w:trPr>
          <w:cantSplit/>
        </w:trPr>
        <w:tc>
          <w:tcPr>
            <w:tcW w:type="dxa" w:w="5043"/>
          </w:tcPr>
          <w:p>
            <w:pPr>
              <w:spacing w:before="60" w:after="60" w:line="259" w:lineRule="auto"/>
            </w:pPr>
            <w:r/>
            <w:r>
              <w:rPr>
                <w:rFonts w:ascii="Calibri" w:hAnsi="Calibri"/>
                <w:b w:val="0"/>
                <w:i w:val="0"/>
                <w:color w:val="1A1A1A"/>
                <w:sz w:val="18"/>
              </w:rPr>
              <w:t>Images de test</w:t>
            </w:r>
          </w:p>
        </w:tc>
        <w:tc>
          <w:tcPr>
            <w:tcW w:type="dxa" w:w="5043"/>
          </w:tcPr>
          <w:p>
            <w:pPr>
              <w:spacing w:before="60" w:after="60" w:line="259" w:lineRule="auto"/>
            </w:pPr>
            <w:r/>
            <w:r>
              <w:rPr>
                <w:rFonts w:ascii="Calibri" w:hAnsi="Calibri"/>
                <w:b w:val="0"/>
                <w:i w:val="0"/>
                <w:color w:val="1A1A1A"/>
                <w:sz w:val="18"/>
              </w:rPr>
              <w:t>2 056</w:t>
            </w:r>
          </w:p>
        </w:tc>
      </w:tr>
    </w:tbl>
    <w:p>
      <w:pPr>
        <w:spacing w:before="60" w:after="160"/>
        <w:jc w:val="left"/>
      </w:pPr>
      <w:r>
        <w:rPr>
          <w:rFonts w:ascii="Calibri" w:hAnsi="Calibri"/>
          <w:b/>
          <w:color w:val="000000"/>
          <w:sz w:val="18"/>
        </w:rPr>
        <w:t xml:space="preserve">Tableau 1. </w:t>
      </w:r>
      <w:r>
        <w:rPr>
          <w:rFonts w:ascii="Calibri" w:hAnsi="Calibri"/>
          <w:i/>
          <w:color w:val="595959"/>
          <w:sz w:val="18"/>
        </w:rPr>
        <w:t>Résultats de mobilenetv2-v1.0 sur le jeu de test PlantVillage.</w:t>
      </w:r>
    </w:p>
    <w:p>
      <w:pPr>
        <w:spacing w:before="40" w:after="100" w:line="252" w:lineRule="auto"/>
        <w:jc w:val="both"/>
      </w:pPr>
      <w:r>
        <w:rPr>
          <w:rFonts w:ascii="Calibri" w:hAnsi="Calibri"/>
          <w:b w:val="0"/>
          <w:i w:val="0"/>
          <w:color w:val="1A1A1A"/>
          <w:sz w:val="21"/>
        </w:rPr>
        <w:t>L'écart entre F1 macro et F1 pondéré, 0,9566 contre 0,9665, mesure exactement le poids du déséquilibre entre classes. La moyenne macro traite les dix classes à égalité, la moyenne pondérée donne plus de poids aux classes nombreuses. La seconde étant la plus élevée, ce sont bien les classes les moins fournies qui tirent le résultat vers le bas. C'est le comportement attendu, et la suite le confirme classe par classe.</w:t>
      </w:r>
    </w:p>
    <w:p>
      <w:pPr>
        <w:spacing w:before="120" w:after="0"/>
        <w:jc w:val="center"/>
        <w:keepLines/>
        <w:keepNext/>
      </w:pPr>
      <w:r>
        <w:drawing>
          <wp:inline xmlns:a="http://schemas.openxmlformats.org/drawingml/2006/main" xmlns:pic="http://schemas.openxmlformats.org/drawingml/2006/picture">
            <wp:extent cx="5760000" cy="1952744"/>
            <wp:docPr id="1" name="Picture 1"/>
            <wp:cNvGraphicFramePr>
              <a:graphicFrameLocks noChangeAspect="1"/>
            </wp:cNvGraphicFramePr>
            <a:graphic>
              <a:graphicData uri="http://schemas.openxmlformats.org/drawingml/2006/picture">
                <pic:pic>
                  <pic:nvPicPr>
                    <pic:cNvPr id="0" name="courbes_apprentissage.png"/>
                    <pic:cNvPicPr/>
                  </pic:nvPicPr>
                  <pic:blipFill>
                    <a:blip r:embed="rId10"/>
                    <a:stretch>
                      <a:fillRect/>
                    </a:stretch>
                  </pic:blipFill>
                  <pic:spPr>
                    <a:xfrm>
                      <a:off x="0" y="0"/>
                      <a:ext cx="5760000" cy="1952744"/>
                    </a:xfrm>
                    <a:prstGeom prst="rect"/>
                  </pic:spPr>
                </pic:pic>
              </a:graphicData>
            </a:graphic>
          </wp:inline>
        </w:drawing>
      </w:r>
    </w:p>
    <w:p>
      <w:pPr>
        <w:spacing w:before="60" w:after="160" w:line="252" w:lineRule="auto"/>
        <w:jc w:val="center"/>
      </w:pPr>
      <w:r>
        <w:rPr>
          <w:rFonts w:ascii="Calibri" w:hAnsi="Calibri"/>
          <w:b/>
          <w:color w:val="000000"/>
          <w:sz w:val="18"/>
        </w:rPr>
        <w:t xml:space="preserve">Figure 1. </w:t>
      </w:r>
      <w:r>
        <w:rPr>
          <w:rFonts w:ascii="Calibri" w:hAnsi="Calibri"/>
          <w:i/>
          <w:color w:val="595959"/>
          <w:sz w:val="18"/>
        </w:rPr>
        <w:t>Évolution de l'exactitude et de la perte au fil des époques, transfert d'apprentissage puis affinage.</w:t>
      </w:r>
    </w:p>
    <w:p>
      <w:pPr>
        <w:spacing w:before="40" w:after="100" w:line="252" w:lineRule="auto"/>
        <w:jc w:val="both"/>
      </w:pPr>
      <w:r>
        <w:rPr>
          <w:rFonts w:ascii="Calibri" w:hAnsi="Calibri"/>
          <w:b w:val="0"/>
          <w:i w:val="0"/>
          <w:color w:val="1A1A1A"/>
          <w:sz w:val="21"/>
        </w:rPr>
        <w:t>Les courbes d'apprentissage montrent les deux phases distinctes de l'entraînement. La première gèle entièrement le corps de MobileNetV2 et n'entraîne que la tête de classification. La seconde, l'affinage, dégèle les quarante dernières couches avec un taux d'apprentissage réduit. Le décrochage visible entre les deux phases correspond à ce changement de régime.</w:t>
      </w:r>
    </w:p>
    <w:p>
      <w:pPr>
        <w:pStyle w:val="Heading2"/>
        <w:spacing w:before="200" w:after="60" w:line="252" w:lineRule="auto"/>
        <w:jc w:val="left"/>
        <w:keepLines/>
        <w:keepNext/>
      </w:pPr>
      <w:r>
        <w:rPr>
          <w:rFonts w:ascii="Calibri" w:hAnsi="Calibri"/>
          <w:b/>
          <w:color w:val="000000"/>
          <w:sz w:val="25"/>
        </w:rPr>
        <w:t>Résultats par classe</w:t>
      </w:r>
    </w:p>
    <w:tbl>
      <w:tblPr>
        <w:tblStyle w:val="TableGrid"/>
        <w:tblW w:type="auto" w:w="0"/>
        <w:jc w:val="left"/>
        <w:tblLook w:firstColumn="1" w:firstRow="1" w:lastColumn="0" w:lastRow="0" w:noHBand="0" w:noVBand="1" w:val="04A0"/>
      </w:tblPr>
      <w:tblGrid>
        <w:gridCol w:w="2017"/>
        <w:gridCol w:w="2017"/>
        <w:gridCol w:w="2017"/>
        <w:gridCol w:w="2017"/>
        <w:gridCol w:w="2017"/>
      </w:tblGrid>
      <w:tr>
        <w:trPr>
          <w:tblHeader/>
          <w:cantSplit/>
        </w:trPr>
        <w:tc>
          <w:tcPr>
            <w:tcW w:type="dxa" w:w="2017"/>
            <w:shd w:val="clear" w:color="auto" w:fill="D9D9D9"/>
          </w:tcPr>
          <w:p>
            <w:pPr>
              <w:spacing w:before="60" w:after="60"/>
            </w:pPr>
            <w:r/>
            <w:r>
              <w:rPr>
                <w:rFonts w:ascii="Calibri" w:hAnsi="Calibri"/>
                <w:b/>
                <w:color w:val="000000"/>
                <w:sz w:val="18"/>
              </w:rPr>
              <w:t>Classe</w:t>
            </w:r>
          </w:p>
        </w:tc>
        <w:tc>
          <w:tcPr>
            <w:tcW w:type="dxa" w:w="2017"/>
            <w:shd w:val="clear" w:color="auto" w:fill="D9D9D9"/>
          </w:tcPr>
          <w:p>
            <w:pPr>
              <w:spacing w:before="60" w:after="60"/>
            </w:pPr>
            <w:r/>
            <w:r>
              <w:rPr>
                <w:rFonts w:ascii="Calibri" w:hAnsi="Calibri"/>
                <w:b/>
                <w:color w:val="000000"/>
                <w:sz w:val="18"/>
              </w:rPr>
              <w:t>Précision</w:t>
            </w:r>
          </w:p>
        </w:tc>
        <w:tc>
          <w:tcPr>
            <w:tcW w:type="dxa" w:w="2017"/>
            <w:shd w:val="clear" w:color="auto" w:fill="D9D9D9"/>
          </w:tcPr>
          <w:p>
            <w:pPr>
              <w:spacing w:before="60" w:after="60"/>
            </w:pPr>
            <w:r/>
            <w:r>
              <w:rPr>
                <w:rFonts w:ascii="Calibri" w:hAnsi="Calibri"/>
                <w:b/>
                <w:color w:val="000000"/>
                <w:sz w:val="18"/>
              </w:rPr>
              <w:t>Rappel</w:t>
            </w:r>
          </w:p>
        </w:tc>
        <w:tc>
          <w:tcPr>
            <w:tcW w:type="dxa" w:w="2017"/>
            <w:shd w:val="clear" w:color="auto" w:fill="D9D9D9"/>
          </w:tcPr>
          <w:p>
            <w:pPr>
              <w:spacing w:before="60" w:after="60"/>
            </w:pPr>
            <w:r/>
            <w:r>
              <w:rPr>
                <w:rFonts w:ascii="Calibri" w:hAnsi="Calibri"/>
                <w:b/>
                <w:color w:val="000000"/>
                <w:sz w:val="18"/>
              </w:rPr>
              <w:t>F1</w:t>
            </w:r>
          </w:p>
        </w:tc>
        <w:tc>
          <w:tcPr>
            <w:tcW w:type="dxa" w:w="2017"/>
            <w:shd w:val="clear" w:color="auto" w:fill="D9D9D9"/>
          </w:tcPr>
          <w:p>
            <w:pPr>
              <w:spacing w:before="60" w:after="60"/>
            </w:pPr>
            <w:r/>
            <w:r>
              <w:rPr>
                <w:rFonts w:ascii="Calibri" w:hAnsi="Calibri"/>
                <w:b/>
                <w:color w:val="000000"/>
                <w:sz w:val="18"/>
              </w:rPr>
              <w:t>Images de test</w:t>
            </w:r>
          </w:p>
        </w:tc>
      </w:tr>
      <w:tr>
        <w:trPr>
          <w:cantSplit/>
        </w:trPr>
        <w:tc>
          <w:tcPr>
            <w:tcW w:type="dxa" w:w="2017"/>
          </w:tcPr>
          <w:p>
            <w:pPr>
              <w:spacing w:before="60" w:after="60" w:line="259" w:lineRule="auto"/>
            </w:pPr>
            <w:r/>
            <w:r>
              <w:rPr>
                <w:rFonts w:ascii="Calibri" w:hAnsi="Calibri"/>
                <w:b w:val="0"/>
                <w:i w:val="0"/>
                <w:color w:val="1A1A1A"/>
                <w:sz w:val="18"/>
              </w:rPr>
              <w:t>Tomate - Saine</w:t>
            </w:r>
          </w:p>
        </w:tc>
        <w:tc>
          <w:tcPr>
            <w:tcW w:type="dxa" w:w="2017"/>
          </w:tcPr>
          <w:p>
            <w:pPr>
              <w:spacing w:before="60" w:after="60" w:line="259" w:lineRule="auto"/>
            </w:pPr>
            <w:r/>
            <w:r>
              <w:rPr>
                <w:rFonts w:ascii="Calibri" w:hAnsi="Calibri"/>
                <w:b w:val="0"/>
                <w:i w:val="0"/>
                <w:color w:val="1A1A1A"/>
                <w:sz w:val="18"/>
              </w:rPr>
              <w:t>0,971</w:t>
            </w:r>
          </w:p>
        </w:tc>
        <w:tc>
          <w:tcPr>
            <w:tcW w:type="dxa" w:w="2017"/>
          </w:tcPr>
          <w:p>
            <w:pPr>
              <w:spacing w:before="60" w:after="60" w:line="259" w:lineRule="auto"/>
            </w:pPr>
            <w:r/>
            <w:r>
              <w:rPr>
                <w:rFonts w:ascii="Calibri" w:hAnsi="Calibri"/>
                <w:b w:val="0"/>
                <w:i w:val="0"/>
                <w:color w:val="1A1A1A"/>
                <w:sz w:val="18"/>
              </w:rPr>
              <w:t>1,000</w:t>
            </w:r>
          </w:p>
        </w:tc>
        <w:tc>
          <w:tcPr>
            <w:tcW w:type="dxa" w:w="2017"/>
          </w:tcPr>
          <w:p>
            <w:pPr>
              <w:spacing w:before="60" w:after="60" w:line="259" w:lineRule="auto"/>
            </w:pPr>
            <w:r/>
            <w:r>
              <w:rPr>
                <w:rFonts w:ascii="Calibri" w:hAnsi="Calibri"/>
                <w:b w:val="0"/>
                <w:i w:val="0"/>
                <w:color w:val="1A1A1A"/>
                <w:sz w:val="18"/>
              </w:rPr>
              <w:t>0,986</w:t>
            </w:r>
          </w:p>
        </w:tc>
        <w:tc>
          <w:tcPr>
            <w:tcW w:type="dxa" w:w="2017"/>
          </w:tcPr>
          <w:p>
            <w:pPr>
              <w:spacing w:before="60" w:after="60" w:line="259" w:lineRule="auto"/>
            </w:pPr>
            <w:r/>
            <w:r>
              <w:rPr>
                <w:rFonts w:ascii="Calibri" w:hAnsi="Calibri"/>
                <w:b w:val="0"/>
                <w:i w:val="0"/>
                <w:color w:val="1A1A1A"/>
                <w:sz w:val="18"/>
              </w:rPr>
              <w:t>238</w:t>
            </w:r>
          </w:p>
        </w:tc>
      </w:tr>
      <w:tr>
        <w:trPr>
          <w:cantSplit/>
        </w:trPr>
        <w:tc>
          <w:tcPr>
            <w:tcW w:type="dxa" w:w="2017"/>
            <w:shd w:val="clear" w:color="auto" w:fill="F4F4F4"/>
          </w:tcPr>
          <w:p>
            <w:pPr>
              <w:spacing w:before="60" w:after="60" w:line="259" w:lineRule="auto"/>
            </w:pPr>
            <w:r/>
            <w:r>
              <w:rPr>
                <w:rFonts w:ascii="Calibri" w:hAnsi="Calibri"/>
                <w:b w:val="0"/>
                <w:i w:val="0"/>
                <w:color w:val="1A1A1A"/>
                <w:sz w:val="18"/>
              </w:rPr>
              <w:t>Tomate - Mildiou tardif</w:t>
            </w:r>
          </w:p>
        </w:tc>
        <w:tc>
          <w:tcPr>
            <w:tcW w:type="dxa" w:w="2017"/>
            <w:shd w:val="clear" w:color="auto" w:fill="F4F4F4"/>
          </w:tcPr>
          <w:p>
            <w:pPr>
              <w:spacing w:before="60" w:after="60" w:line="259" w:lineRule="auto"/>
            </w:pPr>
            <w:r/>
            <w:r>
              <w:rPr>
                <w:rFonts w:ascii="Calibri" w:hAnsi="Calibri"/>
                <w:b w:val="0"/>
                <w:i w:val="0"/>
                <w:color w:val="1A1A1A"/>
                <w:sz w:val="18"/>
              </w:rPr>
              <w:t>0,968</w:t>
            </w:r>
          </w:p>
        </w:tc>
        <w:tc>
          <w:tcPr>
            <w:tcW w:type="dxa" w:w="2017"/>
            <w:shd w:val="clear" w:color="auto" w:fill="F4F4F4"/>
          </w:tcPr>
          <w:p>
            <w:pPr>
              <w:spacing w:before="60" w:after="60" w:line="259" w:lineRule="auto"/>
            </w:pPr>
            <w:r/>
            <w:r>
              <w:rPr>
                <w:rFonts w:ascii="Calibri" w:hAnsi="Calibri"/>
                <w:b w:val="0"/>
                <w:i w:val="0"/>
                <w:color w:val="1A1A1A"/>
                <w:sz w:val="18"/>
              </w:rPr>
              <w:t>0,961</w:t>
            </w:r>
          </w:p>
        </w:tc>
        <w:tc>
          <w:tcPr>
            <w:tcW w:type="dxa" w:w="2017"/>
            <w:shd w:val="clear" w:color="auto" w:fill="F4F4F4"/>
          </w:tcPr>
          <w:p>
            <w:pPr>
              <w:spacing w:before="60" w:after="60" w:line="259" w:lineRule="auto"/>
            </w:pPr>
            <w:r/>
            <w:r>
              <w:rPr>
                <w:rFonts w:ascii="Calibri" w:hAnsi="Calibri"/>
                <w:b w:val="0"/>
                <w:i w:val="0"/>
                <w:color w:val="1A1A1A"/>
                <w:sz w:val="18"/>
              </w:rPr>
              <w:t>0,965</w:t>
            </w:r>
          </w:p>
        </w:tc>
        <w:tc>
          <w:tcPr>
            <w:tcW w:type="dxa" w:w="2017"/>
            <w:shd w:val="clear" w:color="auto" w:fill="F4F4F4"/>
          </w:tcPr>
          <w:p>
            <w:pPr>
              <w:spacing w:before="60" w:after="60" w:line="259" w:lineRule="auto"/>
            </w:pPr>
            <w:r/>
            <w:r>
              <w:rPr>
                <w:rFonts w:ascii="Calibri" w:hAnsi="Calibri"/>
                <w:b w:val="0"/>
                <w:i w:val="0"/>
                <w:color w:val="1A1A1A"/>
                <w:sz w:val="18"/>
              </w:rPr>
              <w:t>285</w:t>
            </w:r>
          </w:p>
        </w:tc>
      </w:tr>
      <w:tr>
        <w:trPr>
          <w:cantSplit/>
        </w:trPr>
        <w:tc>
          <w:tcPr>
            <w:tcW w:type="dxa" w:w="2017"/>
          </w:tcPr>
          <w:p>
            <w:pPr>
              <w:spacing w:before="60" w:after="60" w:line="259" w:lineRule="auto"/>
            </w:pPr>
            <w:r/>
            <w:r>
              <w:rPr>
                <w:rFonts w:ascii="Calibri" w:hAnsi="Calibri"/>
                <w:b w:val="0"/>
                <w:i w:val="0"/>
                <w:color w:val="1A1A1A"/>
                <w:sz w:val="18"/>
              </w:rPr>
              <w:t>Tomate - Tache bactérienne</w:t>
            </w:r>
          </w:p>
        </w:tc>
        <w:tc>
          <w:tcPr>
            <w:tcW w:type="dxa" w:w="2017"/>
          </w:tcPr>
          <w:p>
            <w:pPr>
              <w:spacing w:before="60" w:after="60" w:line="259" w:lineRule="auto"/>
            </w:pPr>
            <w:r/>
            <w:r>
              <w:rPr>
                <w:rFonts w:ascii="Calibri" w:hAnsi="Calibri"/>
                <w:b w:val="0"/>
                <w:i w:val="0"/>
                <w:color w:val="1A1A1A"/>
                <w:sz w:val="18"/>
              </w:rPr>
              <w:t>0,981</w:t>
            </w:r>
          </w:p>
        </w:tc>
        <w:tc>
          <w:tcPr>
            <w:tcW w:type="dxa" w:w="2017"/>
          </w:tcPr>
          <w:p>
            <w:pPr>
              <w:spacing w:before="60" w:after="60" w:line="259" w:lineRule="auto"/>
            </w:pPr>
            <w:r/>
            <w:r>
              <w:rPr>
                <w:rFonts w:ascii="Calibri" w:hAnsi="Calibri"/>
                <w:b w:val="0"/>
                <w:i w:val="0"/>
                <w:color w:val="1A1A1A"/>
                <w:sz w:val="18"/>
              </w:rPr>
              <w:t>0,962</w:t>
            </w:r>
          </w:p>
        </w:tc>
        <w:tc>
          <w:tcPr>
            <w:tcW w:type="dxa" w:w="2017"/>
          </w:tcPr>
          <w:p>
            <w:pPr>
              <w:spacing w:before="60" w:after="60" w:line="259" w:lineRule="auto"/>
            </w:pPr>
            <w:r/>
            <w:r>
              <w:rPr>
                <w:rFonts w:ascii="Calibri" w:hAnsi="Calibri"/>
                <w:b w:val="0"/>
                <w:i w:val="0"/>
                <w:color w:val="1A1A1A"/>
                <w:sz w:val="18"/>
              </w:rPr>
              <w:t>0,972</w:t>
            </w:r>
          </w:p>
        </w:tc>
        <w:tc>
          <w:tcPr>
            <w:tcW w:type="dxa" w:w="2017"/>
          </w:tcPr>
          <w:p>
            <w:pPr>
              <w:spacing w:before="60" w:after="60" w:line="259" w:lineRule="auto"/>
            </w:pPr>
            <w:r/>
            <w:r>
              <w:rPr>
                <w:rFonts w:ascii="Calibri" w:hAnsi="Calibri"/>
                <w:b w:val="0"/>
                <w:i w:val="0"/>
                <w:color w:val="1A1A1A"/>
                <w:sz w:val="18"/>
              </w:rPr>
              <w:t>319</w:t>
            </w:r>
          </w:p>
        </w:tc>
      </w:tr>
      <w:tr>
        <w:trPr>
          <w:cantSplit/>
        </w:trPr>
        <w:tc>
          <w:tcPr>
            <w:tcW w:type="dxa" w:w="2017"/>
            <w:shd w:val="clear" w:color="auto" w:fill="F4F4F4"/>
          </w:tcPr>
          <w:p>
            <w:pPr>
              <w:spacing w:before="60" w:after="60" w:line="259" w:lineRule="auto"/>
            </w:pPr>
            <w:r/>
            <w:r>
              <w:rPr>
                <w:rFonts w:ascii="Calibri" w:hAnsi="Calibri"/>
                <w:b w:val="0"/>
                <w:i w:val="0"/>
                <w:color w:val="1A1A1A"/>
                <w:sz w:val="18"/>
              </w:rPr>
              <w:t>Tomate - Septoriose</w:t>
            </w:r>
          </w:p>
        </w:tc>
        <w:tc>
          <w:tcPr>
            <w:tcW w:type="dxa" w:w="2017"/>
            <w:shd w:val="clear" w:color="auto" w:fill="F4F4F4"/>
          </w:tcPr>
          <w:p>
            <w:pPr>
              <w:spacing w:before="60" w:after="60" w:line="259" w:lineRule="auto"/>
            </w:pPr>
            <w:r/>
            <w:r>
              <w:rPr>
                <w:rFonts w:ascii="Calibri" w:hAnsi="Calibri"/>
                <w:b w:val="0"/>
                <w:i w:val="0"/>
                <w:color w:val="1A1A1A"/>
                <w:sz w:val="18"/>
              </w:rPr>
              <w:t>0,955</w:t>
            </w:r>
          </w:p>
        </w:tc>
        <w:tc>
          <w:tcPr>
            <w:tcW w:type="dxa" w:w="2017"/>
            <w:shd w:val="clear" w:color="auto" w:fill="F4F4F4"/>
          </w:tcPr>
          <w:p>
            <w:pPr>
              <w:spacing w:before="60" w:after="60" w:line="259" w:lineRule="auto"/>
            </w:pPr>
            <w:r/>
            <w:r>
              <w:rPr>
                <w:rFonts w:ascii="Calibri" w:hAnsi="Calibri"/>
                <w:b w:val="0"/>
                <w:i w:val="0"/>
                <w:color w:val="1A1A1A"/>
                <w:sz w:val="18"/>
              </w:rPr>
              <w:t>0,958</w:t>
            </w:r>
          </w:p>
        </w:tc>
        <w:tc>
          <w:tcPr>
            <w:tcW w:type="dxa" w:w="2017"/>
            <w:shd w:val="clear" w:color="auto" w:fill="F4F4F4"/>
          </w:tcPr>
          <w:p>
            <w:pPr>
              <w:spacing w:before="60" w:after="60" w:line="259" w:lineRule="auto"/>
            </w:pPr>
            <w:r/>
            <w:r>
              <w:rPr>
                <w:rFonts w:ascii="Calibri" w:hAnsi="Calibri"/>
                <w:b w:val="0"/>
                <w:i w:val="0"/>
                <w:color w:val="1A1A1A"/>
                <w:sz w:val="18"/>
              </w:rPr>
              <w:t>0,957</w:t>
            </w:r>
          </w:p>
        </w:tc>
        <w:tc>
          <w:tcPr>
            <w:tcW w:type="dxa" w:w="2017"/>
            <w:shd w:val="clear" w:color="auto" w:fill="F4F4F4"/>
          </w:tcPr>
          <w:p>
            <w:pPr>
              <w:spacing w:before="60" w:after="60" w:line="259" w:lineRule="auto"/>
            </w:pPr>
            <w:r/>
            <w:r>
              <w:rPr>
                <w:rFonts w:ascii="Calibri" w:hAnsi="Calibri"/>
                <w:b w:val="0"/>
                <w:i w:val="0"/>
                <w:color w:val="1A1A1A"/>
                <w:sz w:val="18"/>
              </w:rPr>
              <w:t>265</w:t>
            </w:r>
          </w:p>
        </w:tc>
      </w:tr>
      <w:tr>
        <w:trPr>
          <w:cantSplit/>
        </w:trPr>
        <w:tc>
          <w:tcPr>
            <w:tcW w:type="dxa" w:w="2017"/>
          </w:tcPr>
          <w:p>
            <w:pPr>
              <w:spacing w:before="60" w:after="60" w:line="259" w:lineRule="auto"/>
            </w:pPr>
            <w:r/>
            <w:r>
              <w:rPr>
                <w:rFonts w:ascii="Calibri" w:hAnsi="Calibri"/>
                <w:b w:val="0"/>
                <w:i w:val="0"/>
                <w:color w:val="1A1A1A"/>
                <w:sz w:val="18"/>
              </w:rPr>
              <w:t>Maïs - Sain</w:t>
            </w:r>
          </w:p>
        </w:tc>
        <w:tc>
          <w:tcPr>
            <w:tcW w:type="dxa" w:w="2017"/>
          </w:tcPr>
          <w:p>
            <w:pPr>
              <w:spacing w:before="60" w:after="60" w:line="259" w:lineRule="auto"/>
            </w:pPr>
            <w:r/>
            <w:r>
              <w:rPr>
                <w:rFonts w:ascii="Calibri" w:hAnsi="Calibri"/>
                <w:b w:val="0"/>
                <w:i w:val="0"/>
                <w:color w:val="1A1A1A"/>
                <w:sz w:val="18"/>
              </w:rPr>
              <w:t>0,994</w:t>
            </w:r>
          </w:p>
        </w:tc>
        <w:tc>
          <w:tcPr>
            <w:tcW w:type="dxa" w:w="2017"/>
          </w:tcPr>
          <w:p>
            <w:pPr>
              <w:spacing w:before="60" w:after="60" w:line="259" w:lineRule="auto"/>
            </w:pPr>
            <w:r/>
            <w:r>
              <w:rPr>
                <w:rFonts w:ascii="Calibri" w:hAnsi="Calibri"/>
                <w:b w:val="0"/>
                <w:i w:val="0"/>
                <w:color w:val="1A1A1A"/>
                <w:sz w:val="18"/>
              </w:rPr>
              <w:t>1,000</w:t>
            </w:r>
          </w:p>
        </w:tc>
        <w:tc>
          <w:tcPr>
            <w:tcW w:type="dxa" w:w="2017"/>
          </w:tcPr>
          <w:p>
            <w:pPr>
              <w:spacing w:before="60" w:after="60" w:line="259" w:lineRule="auto"/>
            </w:pPr>
            <w:r/>
            <w:r>
              <w:rPr>
                <w:rFonts w:ascii="Calibri" w:hAnsi="Calibri"/>
                <w:b w:val="0"/>
                <w:i w:val="0"/>
                <w:color w:val="1A1A1A"/>
                <w:sz w:val="18"/>
              </w:rPr>
              <w:t>0,997</w:t>
            </w:r>
          </w:p>
        </w:tc>
        <w:tc>
          <w:tcPr>
            <w:tcW w:type="dxa" w:w="2017"/>
          </w:tcPr>
          <w:p>
            <w:pPr>
              <w:spacing w:before="60" w:after="60" w:line="259" w:lineRule="auto"/>
            </w:pPr>
            <w:r/>
            <w:r>
              <w:rPr>
                <w:rFonts w:ascii="Calibri" w:hAnsi="Calibri"/>
                <w:b w:val="0"/>
                <w:i w:val="0"/>
                <w:color w:val="1A1A1A"/>
                <w:sz w:val="18"/>
              </w:rPr>
              <w:t>174</w:t>
            </w:r>
          </w:p>
        </w:tc>
      </w:tr>
      <w:tr>
        <w:trPr>
          <w:cantSplit/>
        </w:trPr>
        <w:tc>
          <w:tcPr>
            <w:tcW w:type="dxa" w:w="2017"/>
            <w:shd w:val="clear" w:color="auto" w:fill="F4F4F4"/>
          </w:tcPr>
          <w:p>
            <w:pPr>
              <w:spacing w:before="60" w:after="60" w:line="259" w:lineRule="auto"/>
            </w:pPr>
            <w:r/>
            <w:r>
              <w:rPr>
                <w:rFonts w:ascii="Calibri" w:hAnsi="Calibri"/>
                <w:b w:val="0"/>
                <w:i w:val="0"/>
                <w:color w:val="1A1A1A"/>
                <w:sz w:val="18"/>
              </w:rPr>
              <w:t>Maïs - Rouille commune</w:t>
            </w:r>
          </w:p>
        </w:tc>
        <w:tc>
          <w:tcPr>
            <w:tcW w:type="dxa" w:w="2017"/>
            <w:shd w:val="clear" w:color="auto" w:fill="F4F4F4"/>
          </w:tcPr>
          <w:p>
            <w:pPr>
              <w:spacing w:before="60" w:after="60" w:line="259" w:lineRule="auto"/>
            </w:pPr>
            <w:r/>
            <w:r>
              <w:rPr>
                <w:rFonts w:ascii="Calibri" w:hAnsi="Calibri"/>
                <w:b w:val="0"/>
                <w:i w:val="0"/>
                <w:color w:val="1A1A1A"/>
                <w:sz w:val="18"/>
              </w:rPr>
              <w:t>0,994</w:t>
            </w:r>
          </w:p>
        </w:tc>
        <w:tc>
          <w:tcPr>
            <w:tcW w:type="dxa" w:w="2017"/>
            <w:shd w:val="clear" w:color="auto" w:fill="F4F4F4"/>
          </w:tcPr>
          <w:p>
            <w:pPr>
              <w:spacing w:before="60" w:after="60" w:line="259" w:lineRule="auto"/>
            </w:pPr>
            <w:r/>
            <w:r>
              <w:rPr>
                <w:rFonts w:ascii="Calibri" w:hAnsi="Calibri"/>
                <w:b w:val="0"/>
                <w:i w:val="0"/>
                <w:color w:val="1A1A1A"/>
                <w:sz w:val="18"/>
              </w:rPr>
              <w:t>1,000</w:t>
            </w:r>
          </w:p>
        </w:tc>
        <w:tc>
          <w:tcPr>
            <w:tcW w:type="dxa" w:w="2017"/>
            <w:shd w:val="clear" w:color="auto" w:fill="F4F4F4"/>
          </w:tcPr>
          <w:p>
            <w:pPr>
              <w:spacing w:before="60" w:after="60" w:line="259" w:lineRule="auto"/>
            </w:pPr>
            <w:r/>
            <w:r>
              <w:rPr>
                <w:rFonts w:ascii="Calibri" w:hAnsi="Calibri"/>
                <w:b w:val="0"/>
                <w:i w:val="0"/>
                <w:color w:val="1A1A1A"/>
                <w:sz w:val="18"/>
              </w:rPr>
              <w:t>0,997</w:t>
            </w:r>
          </w:p>
        </w:tc>
        <w:tc>
          <w:tcPr>
            <w:tcW w:type="dxa" w:w="2017"/>
            <w:shd w:val="clear" w:color="auto" w:fill="F4F4F4"/>
          </w:tcPr>
          <w:p>
            <w:pPr>
              <w:spacing w:before="60" w:after="60" w:line="259" w:lineRule="auto"/>
            </w:pPr>
            <w:r/>
            <w:r>
              <w:rPr>
                <w:rFonts w:ascii="Calibri" w:hAnsi="Calibri"/>
                <w:b w:val="0"/>
                <w:i w:val="0"/>
                <w:color w:val="1A1A1A"/>
                <w:sz w:val="18"/>
              </w:rPr>
              <w:t>179</w:t>
            </w:r>
          </w:p>
        </w:tc>
      </w:tr>
      <w:tr>
        <w:trPr>
          <w:cantSplit/>
        </w:trPr>
        <w:tc>
          <w:tcPr>
            <w:tcW w:type="dxa" w:w="2017"/>
          </w:tcPr>
          <w:p>
            <w:pPr>
              <w:spacing w:before="60" w:after="60" w:line="259" w:lineRule="auto"/>
            </w:pPr>
            <w:r/>
            <w:r>
              <w:rPr>
                <w:rFonts w:ascii="Calibri" w:hAnsi="Calibri"/>
                <w:b w:val="0"/>
                <w:i w:val="0"/>
                <w:color w:val="1A1A1A"/>
                <w:sz w:val="18"/>
              </w:rPr>
              <w:t>Maïs - Helminthosporiose</w:t>
            </w:r>
          </w:p>
        </w:tc>
        <w:tc>
          <w:tcPr>
            <w:tcW w:type="dxa" w:w="2017"/>
          </w:tcPr>
          <w:p>
            <w:pPr>
              <w:spacing w:before="60" w:after="60" w:line="259" w:lineRule="auto"/>
            </w:pPr>
            <w:r/>
            <w:r>
              <w:rPr>
                <w:rFonts w:ascii="Calibri" w:hAnsi="Calibri"/>
                <w:b w:val="0"/>
                <w:i w:val="0"/>
                <w:color w:val="1A1A1A"/>
                <w:sz w:val="18"/>
              </w:rPr>
              <w:t>0,928</w:t>
            </w:r>
          </w:p>
        </w:tc>
        <w:tc>
          <w:tcPr>
            <w:tcW w:type="dxa" w:w="2017"/>
          </w:tcPr>
          <w:p>
            <w:pPr>
              <w:spacing w:before="60" w:after="60" w:line="259" w:lineRule="auto"/>
            </w:pPr>
            <w:r/>
            <w:r>
              <w:rPr>
                <w:rFonts w:ascii="Calibri" w:hAnsi="Calibri"/>
                <w:b w:val="0"/>
                <w:i w:val="0"/>
                <w:color w:val="1A1A1A"/>
                <w:sz w:val="18"/>
              </w:rPr>
              <w:t>0,872</w:t>
            </w:r>
          </w:p>
        </w:tc>
        <w:tc>
          <w:tcPr>
            <w:tcW w:type="dxa" w:w="2017"/>
          </w:tcPr>
          <w:p>
            <w:pPr>
              <w:spacing w:before="60" w:after="60" w:line="259" w:lineRule="auto"/>
            </w:pPr>
            <w:r/>
            <w:r>
              <w:rPr>
                <w:rFonts w:ascii="Calibri" w:hAnsi="Calibri"/>
                <w:b w:val="0"/>
                <w:i w:val="0"/>
                <w:color w:val="1A1A1A"/>
                <w:sz w:val="18"/>
              </w:rPr>
              <w:t>0,899</w:t>
            </w:r>
          </w:p>
        </w:tc>
        <w:tc>
          <w:tcPr>
            <w:tcW w:type="dxa" w:w="2017"/>
          </w:tcPr>
          <w:p>
            <w:pPr>
              <w:spacing w:before="60" w:after="60" w:line="259" w:lineRule="auto"/>
            </w:pPr>
            <w:r/>
            <w:r>
              <w:rPr>
                <w:rFonts w:ascii="Calibri" w:hAnsi="Calibri"/>
                <w:b w:val="0"/>
                <w:i w:val="0"/>
                <w:color w:val="1A1A1A"/>
                <w:sz w:val="18"/>
              </w:rPr>
              <w:t>148</w:t>
            </w:r>
          </w:p>
        </w:tc>
      </w:tr>
      <w:tr>
        <w:trPr>
          <w:cantSplit/>
        </w:trPr>
        <w:tc>
          <w:tcPr>
            <w:tcW w:type="dxa" w:w="2017"/>
            <w:shd w:val="clear" w:color="auto" w:fill="F4F4F4"/>
          </w:tcPr>
          <w:p>
            <w:pPr>
              <w:spacing w:before="60" w:after="60" w:line="259" w:lineRule="auto"/>
            </w:pPr>
            <w:r/>
            <w:r>
              <w:rPr>
                <w:rFonts w:ascii="Calibri" w:hAnsi="Calibri"/>
                <w:b w:val="0"/>
                <w:i w:val="0"/>
                <w:color w:val="1A1A1A"/>
                <w:sz w:val="18"/>
              </w:rPr>
              <w:t>Maïs - Cercosporiose</w:t>
            </w:r>
          </w:p>
        </w:tc>
        <w:tc>
          <w:tcPr>
            <w:tcW w:type="dxa" w:w="2017"/>
            <w:shd w:val="clear" w:color="auto" w:fill="F4F4F4"/>
          </w:tcPr>
          <w:p>
            <w:pPr>
              <w:spacing w:before="60" w:after="60" w:line="259" w:lineRule="auto"/>
            </w:pPr>
            <w:r/>
            <w:r>
              <w:rPr>
                <w:rFonts w:ascii="Calibri" w:hAnsi="Calibri"/>
                <w:b w:val="0"/>
                <w:i w:val="0"/>
                <w:color w:val="1A1A1A"/>
                <w:sz w:val="18"/>
              </w:rPr>
              <w:t>0,795</w:t>
            </w:r>
          </w:p>
        </w:tc>
        <w:tc>
          <w:tcPr>
            <w:tcW w:type="dxa" w:w="2017"/>
            <w:shd w:val="clear" w:color="auto" w:fill="F4F4F4"/>
          </w:tcPr>
          <w:p>
            <w:pPr>
              <w:spacing w:before="60" w:after="60" w:line="259" w:lineRule="auto"/>
            </w:pPr>
            <w:r/>
            <w:r>
              <w:rPr>
                <w:rFonts w:ascii="Calibri" w:hAnsi="Calibri"/>
                <w:b w:val="0"/>
                <w:i w:val="0"/>
                <w:color w:val="1A1A1A"/>
                <w:sz w:val="18"/>
              </w:rPr>
              <w:t>0,857</w:t>
            </w:r>
          </w:p>
        </w:tc>
        <w:tc>
          <w:tcPr>
            <w:tcW w:type="dxa" w:w="2017"/>
            <w:shd w:val="clear" w:color="auto" w:fill="F4F4F4"/>
          </w:tcPr>
          <w:p>
            <w:pPr>
              <w:spacing w:before="60" w:after="60" w:line="259" w:lineRule="auto"/>
            </w:pPr>
            <w:r/>
            <w:r>
              <w:rPr>
                <w:rFonts w:ascii="Calibri" w:hAnsi="Calibri"/>
                <w:b w:val="0"/>
                <w:i w:val="0"/>
                <w:color w:val="1A1A1A"/>
                <w:sz w:val="18"/>
              </w:rPr>
              <w:t>0,825</w:t>
            </w:r>
          </w:p>
        </w:tc>
        <w:tc>
          <w:tcPr>
            <w:tcW w:type="dxa" w:w="2017"/>
            <w:shd w:val="clear" w:color="auto" w:fill="F4F4F4"/>
          </w:tcPr>
          <w:p>
            <w:pPr>
              <w:spacing w:before="60" w:after="60" w:line="259" w:lineRule="auto"/>
            </w:pPr>
            <w:r/>
            <w:r>
              <w:rPr>
                <w:rFonts w:ascii="Calibri" w:hAnsi="Calibri"/>
                <w:b w:val="0"/>
                <w:i w:val="0"/>
                <w:color w:val="1A1A1A"/>
                <w:sz w:val="18"/>
              </w:rPr>
              <w:t>77</w:t>
            </w:r>
          </w:p>
        </w:tc>
      </w:tr>
      <w:tr>
        <w:trPr>
          <w:cantSplit/>
        </w:trPr>
        <w:tc>
          <w:tcPr>
            <w:tcW w:type="dxa" w:w="2017"/>
          </w:tcPr>
          <w:p>
            <w:pPr>
              <w:spacing w:before="60" w:after="60" w:line="259" w:lineRule="auto"/>
            </w:pPr>
            <w:r/>
            <w:r>
              <w:rPr>
                <w:rFonts w:ascii="Calibri" w:hAnsi="Calibri"/>
                <w:b w:val="0"/>
                <w:i w:val="0"/>
                <w:color w:val="1A1A1A"/>
                <w:sz w:val="18"/>
              </w:rPr>
              <w:t>Poivron - Sain</w:t>
            </w:r>
          </w:p>
        </w:tc>
        <w:tc>
          <w:tcPr>
            <w:tcW w:type="dxa" w:w="2017"/>
          </w:tcPr>
          <w:p>
            <w:pPr>
              <w:spacing w:before="60" w:after="60" w:line="259" w:lineRule="auto"/>
            </w:pPr>
            <w:r/>
            <w:r>
              <w:rPr>
                <w:rFonts w:ascii="Calibri" w:hAnsi="Calibri"/>
                <w:b w:val="0"/>
                <w:i w:val="0"/>
                <w:color w:val="1A1A1A"/>
                <w:sz w:val="18"/>
              </w:rPr>
              <w:t>0,991</w:t>
            </w:r>
          </w:p>
        </w:tc>
        <w:tc>
          <w:tcPr>
            <w:tcW w:type="dxa" w:w="2017"/>
          </w:tcPr>
          <w:p>
            <w:pPr>
              <w:spacing w:before="60" w:after="60" w:line="259" w:lineRule="auto"/>
            </w:pPr>
            <w:r/>
            <w:r>
              <w:rPr>
                <w:rFonts w:ascii="Calibri" w:hAnsi="Calibri"/>
                <w:b w:val="0"/>
                <w:i w:val="0"/>
                <w:color w:val="1A1A1A"/>
                <w:sz w:val="18"/>
              </w:rPr>
              <w:t>0,986</w:t>
            </w:r>
          </w:p>
        </w:tc>
        <w:tc>
          <w:tcPr>
            <w:tcW w:type="dxa" w:w="2017"/>
          </w:tcPr>
          <w:p>
            <w:pPr>
              <w:spacing w:before="60" w:after="60" w:line="259" w:lineRule="auto"/>
            </w:pPr>
            <w:r/>
            <w:r>
              <w:rPr>
                <w:rFonts w:ascii="Calibri" w:hAnsi="Calibri"/>
                <w:b w:val="0"/>
                <w:i w:val="0"/>
                <w:color w:val="1A1A1A"/>
                <w:sz w:val="18"/>
              </w:rPr>
              <w:t>0,989</w:t>
            </w:r>
          </w:p>
        </w:tc>
        <w:tc>
          <w:tcPr>
            <w:tcW w:type="dxa" w:w="2017"/>
          </w:tcPr>
          <w:p>
            <w:pPr>
              <w:spacing w:before="60" w:after="60" w:line="259" w:lineRule="auto"/>
            </w:pPr>
            <w:r/>
            <w:r>
              <w:rPr>
                <w:rFonts w:ascii="Calibri" w:hAnsi="Calibri"/>
                <w:b w:val="0"/>
                <w:i w:val="0"/>
                <w:color w:val="1A1A1A"/>
                <w:sz w:val="18"/>
              </w:rPr>
              <w:t>222</w:t>
            </w:r>
          </w:p>
        </w:tc>
      </w:tr>
      <w:tr>
        <w:trPr>
          <w:cantSplit/>
        </w:trPr>
        <w:tc>
          <w:tcPr>
            <w:tcW w:type="dxa" w:w="2017"/>
            <w:shd w:val="clear" w:color="auto" w:fill="F4F4F4"/>
          </w:tcPr>
          <w:p>
            <w:pPr>
              <w:spacing w:before="60" w:after="60" w:line="259" w:lineRule="auto"/>
            </w:pPr>
            <w:r/>
            <w:r>
              <w:rPr>
                <w:rFonts w:ascii="Calibri" w:hAnsi="Calibri"/>
                <w:b w:val="0"/>
                <w:i w:val="0"/>
                <w:color w:val="1A1A1A"/>
                <w:sz w:val="18"/>
              </w:rPr>
              <w:t>Poivron - Tache bactérienne</w:t>
            </w:r>
          </w:p>
        </w:tc>
        <w:tc>
          <w:tcPr>
            <w:tcW w:type="dxa" w:w="2017"/>
            <w:shd w:val="clear" w:color="auto" w:fill="F4F4F4"/>
          </w:tcPr>
          <w:p>
            <w:pPr>
              <w:spacing w:before="60" w:after="60" w:line="259" w:lineRule="auto"/>
            </w:pPr>
            <w:r/>
            <w:r>
              <w:rPr>
                <w:rFonts w:ascii="Calibri" w:hAnsi="Calibri"/>
                <w:b w:val="0"/>
                <w:i w:val="0"/>
                <w:color w:val="1A1A1A"/>
                <w:sz w:val="18"/>
              </w:rPr>
              <w:t>0,974</w:t>
            </w:r>
          </w:p>
        </w:tc>
        <w:tc>
          <w:tcPr>
            <w:tcW w:type="dxa" w:w="2017"/>
            <w:shd w:val="clear" w:color="auto" w:fill="F4F4F4"/>
          </w:tcPr>
          <w:p>
            <w:pPr>
              <w:spacing w:before="60" w:after="60" w:line="259" w:lineRule="auto"/>
            </w:pPr>
            <w:r/>
            <w:r>
              <w:rPr>
                <w:rFonts w:ascii="Calibri" w:hAnsi="Calibri"/>
                <w:b w:val="0"/>
                <w:i w:val="0"/>
                <w:color w:val="1A1A1A"/>
                <w:sz w:val="18"/>
              </w:rPr>
              <w:t>0,987</w:t>
            </w:r>
          </w:p>
        </w:tc>
        <w:tc>
          <w:tcPr>
            <w:tcW w:type="dxa" w:w="2017"/>
            <w:shd w:val="clear" w:color="auto" w:fill="F4F4F4"/>
          </w:tcPr>
          <w:p>
            <w:pPr>
              <w:spacing w:before="60" w:after="60" w:line="259" w:lineRule="auto"/>
            </w:pPr>
            <w:r/>
            <w:r>
              <w:rPr>
                <w:rFonts w:ascii="Calibri" w:hAnsi="Calibri"/>
                <w:b w:val="0"/>
                <w:i w:val="0"/>
                <w:color w:val="1A1A1A"/>
                <w:sz w:val="18"/>
              </w:rPr>
              <w:t>0,980</w:t>
            </w:r>
          </w:p>
        </w:tc>
        <w:tc>
          <w:tcPr>
            <w:tcW w:type="dxa" w:w="2017"/>
            <w:shd w:val="clear" w:color="auto" w:fill="F4F4F4"/>
          </w:tcPr>
          <w:p>
            <w:pPr>
              <w:spacing w:before="60" w:after="60" w:line="259" w:lineRule="auto"/>
            </w:pPr>
            <w:r/>
            <w:r>
              <w:rPr>
                <w:rFonts w:ascii="Calibri" w:hAnsi="Calibri"/>
                <w:b w:val="0"/>
                <w:i w:val="0"/>
                <w:color w:val="1A1A1A"/>
                <w:sz w:val="18"/>
              </w:rPr>
              <w:t>149</w:t>
            </w:r>
          </w:p>
        </w:tc>
      </w:tr>
    </w:tbl>
    <w:p>
      <w:pPr>
        <w:spacing w:before="60" w:after="160"/>
        <w:jc w:val="left"/>
      </w:pPr>
      <w:r>
        <w:rPr>
          <w:rFonts w:ascii="Calibri" w:hAnsi="Calibri"/>
          <w:b/>
          <w:color w:val="000000"/>
          <w:sz w:val="18"/>
        </w:rPr>
        <w:t xml:space="preserve">Tableau 2. </w:t>
      </w:r>
      <w:r>
        <w:rPr>
          <w:rFonts w:ascii="Calibri" w:hAnsi="Calibri"/>
          <w:i/>
          <w:color w:val="595959"/>
          <w:sz w:val="18"/>
        </w:rPr>
        <w:t>Précision, rappel et F1 par classe, jeu de test PlantVillage, modèle v1.</w:t>
      </w:r>
    </w:p>
    <w:p>
      <w:pPr>
        <w:spacing w:before="40" w:after="100" w:line="252" w:lineRule="auto"/>
        <w:jc w:val="both"/>
      </w:pPr>
      <w:r>
        <w:rPr>
          <w:rFonts w:ascii="Calibri" w:hAnsi="Calibri"/>
          <w:b w:val="0"/>
          <w:i w:val="0"/>
          <w:color w:val="1A1A1A"/>
          <w:sz w:val="21"/>
        </w:rPr>
        <w:t>Huit classes sur dix dépassent 0,95 de F1. Deux seulement décrochent, et ce sont les deux mêmes maladies : l'helminthosporiose du maïs à 0,899 et la cercosporiose du maïs à 0,825.</w:t>
      </w:r>
    </w:p>
    <w:p>
      <w:pPr>
        <w:spacing w:before="120" w:after="0"/>
        <w:jc w:val="center"/>
        <w:keepLines/>
        <w:keepNext/>
      </w:pPr>
      <w:r>
        <w:drawing>
          <wp:inline xmlns:a="http://schemas.openxmlformats.org/drawingml/2006/main" xmlns:pic="http://schemas.openxmlformats.org/drawingml/2006/picture">
            <wp:extent cx="5220000" cy="4466158"/>
            <wp:docPr id="2" name="Picture 2"/>
            <wp:cNvGraphicFramePr>
              <a:graphicFrameLocks noChangeAspect="1"/>
            </wp:cNvGraphicFramePr>
            <a:graphic>
              <a:graphicData uri="http://schemas.openxmlformats.org/drawingml/2006/picture">
                <pic:pic>
                  <pic:nvPicPr>
                    <pic:cNvPr id="0" name="matrice_confusion.png"/>
                    <pic:cNvPicPr/>
                  </pic:nvPicPr>
                  <pic:blipFill>
                    <a:blip r:embed="rId11"/>
                    <a:stretch>
                      <a:fillRect/>
                    </a:stretch>
                  </pic:blipFill>
                  <pic:spPr>
                    <a:xfrm>
                      <a:off x="0" y="0"/>
                      <a:ext cx="5220000" cy="4466158"/>
                    </a:xfrm>
                    <a:prstGeom prst="rect"/>
                  </pic:spPr>
                </pic:pic>
              </a:graphicData>
            </a:graphic>
          </wp:inline>
        </w:drawing>
      </w:r>
    </w:p>
    <w:p>
      <w:pPr>
        <w:spacing w:before="60" w:after="160" w:line="252" w:lineRule="auto"/>
        <w:jc w:val="center"/>
      </w:pPr>
      <w:r>
        <w:rPr>
          <w:rFonts w:ascii="Calibri" w:hAnsi="Calibri"/>
          <w:b/>
          <w:color w:val="000000"/>
          <w:sz w:val="18"/>
        </w:rPr>
        <w:t xml:space="preserve">Figure 2. </w:t>
      </w:r>
      <w:r>
        <w:rPr>
          <w:rFonts w:ascii="Calibri" w:hAnsi="Calibri"/>
          <w:i/>
          <w:color w:val="595959"/>
          <w:sz w:val="18"/>
        </w:rPr>
        <w:t>Matrice de confusion du modèle v1 sur le jeu de test PlantVillage.</w:t>
      </w:r>
    </w:p>
    <w:p>
      <w:pPr>
        <w:pStyle w:val="Heading2"/>
        <w:spacing w:before="200" w:after="60" w:line="252" w:lineRule="auto"/>
        <w:jc w:val="left"/>
        <w:keepLines/>
        <w:keepNext/>
      </w:pPr>
      <w:r>
        <w:rPr>
          <w:rFonts w:ascii="Calibri" w:hAnsi="Calibri"/>
          <w:b/>
          <w:color w:val="000000"/>
          <w:sz w:val="25"/>
        </w:rPr>
        <w:t>Où le modèle se trompe, et pourquoi</w:t>
      </w:r>
    </w:p>
    <w:p>
      <w:pPr>
        <w:spacing w:before="40" w:after="100" w:line="252" w:lineRule="auto"/>
        <w:jc w:val="both"/>
      </w:pPr>
      <w:r>
        <w:rPr>
          <w:rFonts w:ascii="Calibri" w:hAnsi="Calibri"/>
          <w:b w:val="0"/>
          <w:i w:val="0"/>
          <w:color w:val="1A1A1A"/>
          <w:sz w:val="21"/>
        </w:rPr>
        <w:t>Le détail des deux classes faibles est instructif, parce qu'il ne se lit pas dans l'exactitude globale.</w:t>
      </w:r>
    </w:p>
    <w:p>
      <w:pPr>
        <w:spacing w:before="40" w:after="100" w:line="252" w:lineRule="auto"/>
        <w:jc w:val="both"/>
      </w:pPr>
      <w:r>
        <w:rPr>
          <w:rFonts w:ascii="Calibri" w:hAnsi="Calibri"/>
          <w:b w:val="0"/>
          <w:i w:val="0"/>
          <w:color w:val="1A1A1A"/>
          <w:sz w:val="21"/>
        </w:rPr>
        <w:t>La cercosporiose obtient une précision de 0,795 pour un rappel de 0,857. Autrement dit, le modèle la retrouve correctement dans la plupart des cas, mais il l'annonce aussi quand elle n'y est pas. Sur ses 77 images de test, environ 66 sont correctement identifiées, et une quinzaine d'images d'autres classes lui sont attribuées à tort.</w:t>
      </w:r>
    </w:p>
    <w:p>
      <w:pPr>
        <w:spacing w:before="40" w:after="100" w:line="252" w:lineRule="auto"/>
        <w:jc w:val="both"/>
      </w:pPr>
      <w:r>
        <w:rPr>
          <w:rFonts w:ascii="Calibri" w:hAnsi="Calibri"/>
          <w:b w:val="0"/>
          <w:i w:val="0"/>
          <w:color w:val="1A1A1A"/>
          <w:sz w:val="21"/>
        </w:rPr>
        <w:t>L'helminthosporiose présente le profil inverse : une précision élevée de 0,928 pour un rappel de 0,872. Sur ses 148 images, une vingtaine échappent au modèle.</w:t>
      </w:r>
    </w:p>
    <w:p>
      <w:pPr>
        <w:spacing w:before="40" w:after="100" w:line="252" w:lineRule="auto"/>
        <w:jc w:val="both"/>
      </w:pPr>
      <w:r>
        <w:rPr>
          <w:rFonts w:ascii="Calibri" w:hAnsi="Calibri"/>
          <w:b w:val="0"/>
          <w:i w:val="0"/>
          <w:color w:val="1A1A1A"/>
          <w:sz w:val="21"/>
        </w:rPr>
        <w:t>Ces deux déséquilibres sont symétriques, et l'hypothèse la plus économique est qu'ils se répondent : les helminthosporioses manquées deviennent des cercosporioses annoncées à tort. La matrice de confusion permet de le vérifier directement, et c'est bien ce qu'elle montre. Cette confusion n'a rien d'aberrant sur le plan agronomique : les deux maladies produisent sur la feuille de maïs des lésions allongées de couleur brun clair, que le stade d'évolution rend parfois difficiles à distinguer à l'oeil nu.</w:t>
      </w:r>
    </w:p>
    <w:p>
      <w:pPr>
        <w:spacing w:before="40" w:after="100" w:line="252" w:lineRule="auto"/>
        <w:jc w:val="both"/>
      </w:pPr>
      <w:r>
        <w:rPr>
          <w:rFonts w:ascii="Calibri" w:hAnsi="Calibri"/>
          <w:b w:val="0"/>
          <w:i w:val="0"/>
          <w:color w:val="1A1A1A"/>
          <w:sz w:val="21"/>
        </w:rPr>
        <w:t>Deux facteurs aggravent le phénomène. La cercosporiose est la classe la moins fournie du corpus, avec 513 images au total contre 2 127 pour la plus fournie, soit un rapport de 4,15 entre les deux extrêmes. Et un jeu de test de 77 images seulement donne une marge d'erreur large : quelques images de plus ou de moins déplacent le F1 de plusieurs points.</w:t>
      </w:r>
    </w:p>
    <w:p>
      <w:pPr>
        <w:spacing w:before="200" w:after="200" w:line="264" w:lineRule="auto"/>
        <w:ind w:left="113" w:right="113"/>
        <w:jc w:val="both"/>
        <w:shd w:val="clear" w:color="auto" w:fill="F2F2F2"/>
        <w:pBdr>
          <w:top w:val="single" w:sz="6" w:space="8" w:color="808080"/>
          <w:left w:val="single" w:sz="6" w:space="8" w:color="808080"/>
          <w:bottom w:val="single" w:sz="6" w:space="8" w:color="808080"/>
          <w:right w:val="single" w:sz="6" w:space="8" w:color="808080"/>
        </w:pBdr>
        <w:keepLines/>
      </w:pPr>
      <w:r>
        <w:rPr>
          <w:rFonts w:ascii="Calibri" w:hAnsi="Calibri"/>
          <w:b/>
          <w:color w:val="000000"/>
          <w:sz w:val="19"/>
        </w:rPr>
        <w:t xml:space="preserve">À RETENIR   </w:t>
      </w:r>
      <w:r>
        <w:rPr>
          <w:rFonts w:ascii="Calibri" w:hAnsi="Calibri"/>
          <w:color w:val="1A1A1A"/>
          <w:sz w:val="20"/>
        </w:rPr>
        <w:t>Un modèle qui atteint 96,64 pour cent en moyenne se trompe encore une fois sur cinq sur sa classe la plus faible. La moyenne masque la faiblesse ; seul le détail par classe la rend visible.</w:t>
      </w:r>
    </w:p>
    <w:p>
      <w:pPr>
        <w:pStyle w:val="Heading2"/>
        <w:spacing w:before="200" w:after="60" w:line="252" w:lineRule="auto"/>
        <w:jc w:val="left"/>
        <w:keepLines/>
        <w:keepNext/>
      </w:pPr>
      <w:r>
        <w:rPr>
          <w:rFonts w:ascii="Calibri" w:hAnsi="Calibri"/>
          <w:b/>
          <w:color w:val="000000"/>
          <w:sz w:val="25"/>
        </w:rPr>
        <w:t>Ce que ce chiffre prouve, et ce qu'il ne prouve pas</w:t>
      </w:r>
    </w:p>
    <w:p>
      <w:pPr>
        <w:spacing w:before="40" w:after="100" w:line="252" w:lineRule="auto"/>
        <w:jc w:val="both"/>
      </w:pPr>
      <w:r>
        <w:rPr>
          <w:rFonts w:ascii="Calibri" w:hAnsi="Calibri"/>
          <w:b w:val="0"/>
          <w:i w:val="0"/>
          <w:color w:val="1A1A1A"/>
          <w:sz w:val="21"/>
        </w:rPr>
        <w:t>Il faut être clair sur la portée de ces 96,64 pour cent, car c'est précisément le genre de chiffre qu'un rapport peut mettre en avant sans le mériter.</w:t>
      </w:r>
    </w:p>
    <w:p>
      <w:pPr>
        <w:spacing w:before="40" w:after="100" w:line="252" w:lineRule="auto"/>
        <w:jc w:val="both"/>
      </w:pPr>
      <w:r>
        <w:rPr>
          <w:rFonts w:ascii="Calibri" w:hAnsi="Calibri"/>
          <w:b w:val="0"/>
          <w:i w:val="0"/>
          <w:color w:val="1A1A1A"/>
          <w:sz w:val="21"/>
        </w:rPr>
        <w:t>Ce résultat établit une chose, et une seule : sur des images produites dans les mêmes conditions que celles de l'entraînement, feuille détachée, posée à plat sur un fond uni, éclairage constant, le modèle sépare correctement les dix classes. C'est nécessaire, et c'est loin d'être suffisant.</w:t>
      </w:r>
    </w:p>
    <w:p>
      <w:pPr>
        <w:spacing w:before="40" w:after="100" w:line="252" w:lineRule="auto"/>
        <w:jc w:val="both"/>
      </w:pPr>
      <w:r>
        <w:rPr>
          <w:rFonts w:ascii="Calibri" w:hAnsi="Calibri"/>
          <w:b w:val="0"/>
          <w:i w:val="0"/>
          <w:color w:val="1A1A1A"/>
          <w:sz w:val="21"/>
        </w:rPr>
        <w:t>Il n'établit en revanche rien du tout sur le comportement du modèle face à une photographie prise au champ, avec un feuillage encombré, une lumière rasante et une feuille encore attachée à la plante. PlantVillage est un corpus de laboratoire, et un modèle entraîné dessus apprend inévitablement une part des conditions de prise de vue en même temps que la maladie. Quelle part, exactement, aucun chiffre de ce chapitre ne le dit.</w:t>
      </w:r>
    </w:p>
    <w:p>
      <w:pPr>
        <w:spacing w:before="40" w:after="100" w:line="252" w:lineRule="auto"/>
        <w:jc w:val="both"/>
      </w:pPr>
      <w:r>
        <w:rPr>
          <w:rFonts w:ascii="Calibri" w:hAnsi="Calibri"/>
          <w:b w:val="0"/>
          <w:i w:val="0"/>
          <w:color w:val="1A1A1A"/>
          <w:sz w:val="21"/>
        </w:rPr>
        <w:t>C'est cette question que le chapitre suivant instruit, avec un corpus que le modèle n'a jamais vu et qui n'a rien de commun avec un studio.</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AgriVision-AI    |    Chapitre 5    |    page </w:t>
    </w:r>
    <w:r>
      <w:rPr>
        <w:rFonts w:ascii="Calibri" w:hAnsi="Calibri"/>
        <w:b w:val="0"/>
        <w:color w:val="595959"/>
        <w:sz w:val="16"/>
      </w:rPr>
      <w:fldChar w:fldCharType="begin"/>
      <w:instrText xml:space="preserve">PAGE</w:instrText>
      <w:fldChar w:fldCharType="separate"/>
      <w:fldChar w:fldCharType="end"/>
    </w:r>
    <w:r>
      <w:rPr>
        <w:rFonts w:ascii="Calibri" w:hAnsi="Calibri"/>
        <w:color w:val="595959"/>
        <w:sz w:val="16"/>
      </w:rPr>
      <w:t xml:space="preserve"> sur </w:t>
    </w:r>
    <w:r>
      <w:rPr>
        <w:rFonts w:ascii="Calibri" w:hAnsi="Calibri"/>
        <w:b w:val="0"/>
        <w:color w:val="595959"/>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chapitre 5, Résultats de la première version en conditions de studio</dc:title>
  <dc:subject>Diagnostic des maladies des cultures par vision par ordinateur, et mesure honnête de ce qu'un tel modèle vaut au champ</dc:subject>
  <dc:creator>Faustin Félicien Pikbougoum</dc:creator>
  <cp:keywords/>
  <dc:description/>
  <cp:lastModifiedBy>Faustin Félicien Pikbougoum</cp:lastModifiedBy>
  <cp:revision>1</cp:revision>
  <dcterms:created xsi:type="dcterms:W3CDTF">2026-08-30T15:09:17Z</dcterms:created>
  <dcterms:modified xsi:type="dcterms:W3CDTF">2026-08-30T15:09:17Z</dcterms:modified>
  <cp:category/>
</cp:coreProperties>
</file>