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52" w:lineRule="auto"/>
      </w:pPr>
      <w:r>
        <w:rPr>
          <w:rFonts w:ascii="Calibri" w:hAnsi="Calibri"/>
          <w:b w:val="0"/>
          <w:i w:val="0"/>
          <w:color w:val="595959"/>
          <w:sz w:val="18"/>
        </w:rPr>
        <w:t>Rapport De Projet</w:t>
      </w:r>
    </w:p>
    <w:p>
      <w:pPr>
        <w:spacing w:before="0" w:after="40" w:line="252" w:lineRule="auto"/>
      </w:pPr>
      <w:r>
        <w:rPr>
          <w:rFonts w:ascii="Calibri" w:hAnsi="Calibri"/>
          <w:b w:val="0"/>
          <w:i w:val="0"/>
          <w:color w:val="595959"/>
          <w:sz w:val="18"/>
        </w:rPr>
        <w:t>AgriVision-AI : Diagnostic des maladies des cultures par vision par ordinateur, et mesure honnête de ce qu'un tel modèle vaut au champ</w:t>
      </w:r>
    </w:p>
    <w:p>
      <w:pPr>
        <w:spacing w:before="0" w:after="200" w:line="252" w:lineRule="auto"/>
      </w:pPr>
      <w:r>
        <w:rPr>
          <w:rFonts w:ascii="Calibri" w:hAnsi="Calibri"/>
          <w:b w:val="0"/>
          <w:i/>
          <w:color w:val="595959"/>
          <w:sz w:val="18"/>
        </w:rPr>
        <w:t>Rédaction : Faustin Félicien Pikbougoum</w:t>
      </w:r>
    </w:p>
    <w:p>
      <w:pPr>
        <w:spacing w:before="0" w:after="40"/>
        <w:keepLines/>
        <w:keepNext/>
      </w:pPr>
      <w:r>
        <w:rPr>
          <w:rFonts w:ascii="Calibri" w:hAnsi="Calibri"/>
          <w:b/>
          <w:color w:val="595959"/>
          <w:sz w:val="19"/>
        </w:rPr>
        <w:t>CHAPITRE 7</w:t>
      </w:r>
    </w:p>
    <w:p>
      <w:pPr>
        <w:pStyle w:val="Heading1"/>
        <w:spacing w:before="0" w:after="80" w:line="252" w:lineRule="auto"/>
        <w:jc w:val="left"/>
        <w:keepLines/>
        <w:keepNext/>
      </w:pPr>
      <w:r>
        <w:rPr>
          <w:rFonts w:ascii="Calibri" w:hAnsi="Calibri"/>
          <w:b/>
          <w:color w:val="000000"/>
          <w:sz w:val="34"/>
        </w:rPr>
        <w:t>La version 2 : apprendre à douter</w:t>
      </w:r>
    </w:p>
    <w:p>
      <w:pPr>
        <w:spacing w:before="0" w:after="240"/>
        <w:pBdr>
          <w:bottom w:val="single" w:sz="8" w:space="1" w:color="808080"/>
        </w:pBdr>
        <w:keepLines/>
        <w:keepNext/>
      </w:pPr>
    </w:p>
    <w:p>
      <w:pPr>
        <w:spacing w:before="40" w:after="100" w:line="252" w:lineRule="auto"/>
        <w:jc w:val="both"/>
      </w:pPr>
      <w:r>
        <w:rPr>
          <w:rFonts w:ascii="Calibri" w:hAnsi="Calibri"/>
          <w:b w:val="0"/>
          <w:i w:val="0"/>
          <w:color w:val="1A1A1A"/>
          <w:sz w:val="21"/>
        </w:rPr>
        <w:t>Le chapitre précédent laisse le projet devant un choix. La chute de performance au champ tient à la nature du corpus d'entraînement, et aucun réglage ne la fera disparaître. Restait à savoir ce qu'il était possible de récupérer, et surtout ce qu'il fallait viser.</w:t>
      </w:r>
    </w:p>
    <w:p>
      <w:pPr>
        <w:spacing w:before="40" w:after="100" w:line="252" w:lineRule="auto"/>
        <w:jc w:val="both"/>
      </w:pPr>
      <w:r>
        <w:rPr>
          <w:rFonts w:ascii="Calibri" w:hAnsi="Calibri"/>
          <w:b w:val="0"/>
          <w:i w:val="0"/>
          <w:color w:val="1A1A1A"/>
          <w:sz w:val="21"/>
        </w:rPr>
        <w:t xml:space="preserve">La décision prise a orienté tout le reste : plutôt que de chercher quelques points d'exactitude supplémentaires, la version 2 a été construite pour </w:t>
      </w:r>
      <w:r>
        <w:rPr>
          <w:rFonts w:ascii="Calibri" w:hAnsi="Calibri"/>
          <w:b/>
          <w:i w:val="0"/>
          <w:color w:val="1A1A1A"/>
          <w:sz w:val="21"/>
        </w:rPr>
        <w:t>cesser de se tromper avec assurance</w:t>
      </w:r>
      <w:r>
        <w:rPr>
          <w:rFonts w:ascii="Calibri" w:hAnsi="Calibri"/>
          <w:b w:val="0"/>
          <w:i w:val="0"/>
          <w:color w:val="1A1A1A"/>
          <w:sz w:val="21"/>
        </w:rPr>
        <w:t>. Pour un outil d'aide à la décision agricole, un modèle qui sait douter vaut mieux qu'un modèle qui a un peu plus souvent raison.</w:t>
      </w:r>
    </w:p>
    <w:p>
      <w:pPr>
        <w:pStyle w:val="Heading2"/>
        <w:spacing w:before="200" w:after="60" w:line="252" w:lineRule="auto"/>
        <w:jc w:val="left"/>
        <w:keepLines/>
        <w:keepNext/>
      </w:pPr>
      <w:r>
        <w:rPr>
          <w:rFonts w:ascii="Calibri" w:hAnsi="Calibri"/>
          <w:b/>
          <w:color w:val="000000"/>
          <w:sz w:val="25"/>
        </w:rPr>
        <w:t>Ce qui a changé</w:t>
      </w:r>
    </w:p>
    <w:p>
      <w:pPr>
        <w:spacing w:before="40" w:after="100" w:line="252" w:lineRule="auto"/>
        <w:jc w:val="both"/>
      </w:pPr>
      <w:r>
        <w:rPr>
          <w:rFonts w:ascii="Calibri" w:hAnsi="Calibri"/>
          <w:b w:val="0"/>
          <w:i w:val="0"/>
          <w:color w:val="1A1A1A"/>
          <w:sz w:val="21"/>
        </w:rPr>
        <w:t xml:space="preserve">La version 2, </w:t>
      </w:r>
      <w:r>
        <w:rPr>
          <w:rFonts w:ascii="Consolas" w:hAnsi="Consolas"/>
          <w:b w:val="0"/>
          <w:i w:val="0"/>
          <w:color w:val="1A1A1A"/>
          <w:sz w:val="20"/>
        </w:rPr>
        <w:t>mobilenetv2-v2.0</w:t>
      </w:r>
      <w:r>
        <w:rPr>
          <w:rFonts w:ascii="Calibri" w:hAnsi="Calibri"/>
          <w:b w:val="0"/>
          <w:i w:val="0"/>
          <w:color w:val="1A1A1A"/>
          <w:sz w:val="21"/>
        </w:rPr>
        <w:t>, a été entraînée après les mesures du chapitre 6. Cinq modifications la séparent de la précédente.</w:t>
      </w:r>
    </w:p>
    <w:p>
      <w:pPr>
        <w:spacing w:before="40" w:after="80" w:line="264" w:lineRule="auto"/>
        <w:ind w:left="510" w:hanging="510"/>
        <w:jc w:val="both"/>
      </w:pPr>
      <w:r>
        <w:rPr>
          <w:rFonts w:ascii="Calibri" w:hAnsi="Calibri"/>
          <w:b/>
          <w:color w:val="1A1A1A"/>
          <w:sz w:val="21"/>
        </w:rPr>
        <w:t>1.</w:t>
        <w:tab/>
      </w:r>
      <w:r>
        <w:rPr>
          <w:rFonts w:ascii="Calibri" w:hAnsi="Calibri"/>
          <w:b/>
          <w:i w:val="0"/>
          <w:color w:val="1A1A1A"/>
          <w:sz w:val="21"/>
        </w:rPr>
        <w:t>Ajout d'images de terrain à l'entraînement.</w:t>
      </w:r>
      <w:r>
        <w:rPr>
          <w:rFonts w:ascii="Calibri" w:hAnsi="Calibri"/>
          <w:b w:val="0"/>
          <w:i w:val="0"/>
          <w:color w:val="1A1A1A"/>
          <w:sz w:val="21"/>
        </w:rPr>
        <w:t xml:space="preserve"> Le corpus PlantWild apporte 1 765 photographies prises en conditions réelles, aux côtés des 9 597 images de PlantVillage. Le modèle voit désormais des feuilles dans leur milieu, et non seulement sur fond uni.</w:t>
      </w:r>
    </w:p>
    <w:p>
      <w:pPr>
        <w:spacing w:before="40" w:after="80" w:line="264" w:lineRule="auto"/>
        <w:ind w:left="510" w:hanging="510"/>
        <w:jc w:val="both"/>
      </w:pPr>
      <w:r>
        <w:rPr>
          <w:rFonts w:ascii="Calibri" w:hAnsi="Calibri"/>
          <w:b/>
          <w:color w:val="1A1A1A"/>
          <w:sz w:val="21"/>
        </w:rPr>
        <w:t>2.</w:t>
        <w:tab/>
      </w:r>
      <w:r>
        <w:rPr>
          <w:rFonts w:ascii="Calibri" w:hAnsi="Calibri"/>
          <w:b/>
          <w:i w:val="0"/>
          <w:color w:val="1A1A1A"/>
          <w:sz w:val="21"/>
        </w:rPr>
        <w:t>Augmentation de données étendue.</w:t>
      </w:r>
      <w:r>
        <w:rPr>
          <w:rFonts w:ascii="Calibri" w:hAnsi="Calibri"/>
          <w:b w:val="0"/>
          <w:i w:val="0"/>
          <w:color w:val="1A1A1A"/>
          <w:sz w:val="21"/>
        </w:rPr>
        <w:t xml:space="preserve"> Aux transformations géométriques usuelles s'ajoutent des variations de teinte et de saturation, des occlusions partielles, du flou et des translations. L'objectif est de rendre le modèle indifférent aux conditions de prise de vue plutôt qu'à la seule orientation de la feuille.</w:t>
      </w:r>
    </w:p>
    <w:p>
      <w:pPr>
        <w:spacing w:before="40" w:after="80" w:line="264" w:lineRule="auto"/>
        <w:ind w:left="510" w:hanging="510"/>
        <w:jc w:val="both"/>
      </w:pPr>
      <w:r>
        <w:rPr>
          <w:rFonts w:ascii="Calibri" w:hAnsi="Calibri"/>
          <w:b/>
          <w:color w:val="1A1A1A"/>
          <w:sz w:val="21"/>
        </w:rPr>
        <w:t>3.</w:t>
        <w:tab/>
      </w:r>
      <w:r>
        <w:rPr>
          <w:rFonts w:ascii="Calibri" w:hAnsi="Calibri"/>
          <w:b/>
          <w:i w:val="0"/>
          <w:color w:val="1A1A1A"/>
          <w:sz w:val="21"/>
        </w:rPr>
        <w:t>Affinage plus profond.</w:t>
      </w:r>
      <w:r>
        <w:rPr>
          <w:rFonts w:ascii="Calibri" w:hAnsi="Calibri"/>
          <w:b w:val="0"/>
          <w:i w:val="0"/>
          <w:color w:val="1A1A1A"/>
          <w:sz w:val="21"/>
        </w:rPr>
        <w:t xml:space="preserve"> Quatre-vingts couches sur les 154 de MobileNetV2 sont dégelées, contre quarante pour la version 1. Le modèle peut donc réviser des représentations plus générales, et pas seulement les dernières couches spécialisées.</w:t>
      </w:r>
    </w:p>
    <w:p>
      <w:pPr>
        <w:spacing w:before="40" w:after="80" w:line="264" w:lineRule="auto"/>
        <w:ind w:left="510" w:hanging="510"/>
        <w:jc w:val="both"/>
      </w:pPr>
      <w:r>
        <w:rPr>
          <w:rFonts w:ascii="Calibri" w:hAnsi="Calibri"/>
          <w:b/>
          <w:color w:val="1A1A1A"/>
          <w:sz w:val="21"/>
        </w:rPr>
        <w:t>4.</w:t>
        <w:tab/>
      </w:r>
      <w:r>
        <w:rPr>
          <w:rFonts w:ascii="Calibri" w:hAnsi="Calibri"/>
          <w:b/>
          <w:i w:val="0"/>
          <w:color w:val="1A1A1A"/>
          <w:sz w:val="21"/>
        </w:rPr>
        <w:t>Lissage des étiquettes à 0,1.</w:t>
      </w:r>
      <w:r>
        <w:rPr>
          <w:rFonts w:ascii="Calibri" w:hAnsi="Calibri"/>
          <w:b w:val="0"/>
          <w:i w:val="0"/>
          <w:color w:val="1A1A1A"/>
          <w:sz w:val="21"/>
        </w:rPr>
        <w:t xml:space="preserve"> C'est la correction visant directement la surconfiance. Plutôt que d'apprendre au modèle qu'une image est une septoriose à 100 pour cent, on lui apprend qu'elle l'est à 90 pour cent, le reste étant réparti sur les autres classes. Le modèle est ainsi dissuadé de produire des certitudes absolues.</w:t>
      </w:r>
    </w:p>
    <w:p>
      <w:pPr>
        <w:spacing w:before="40" w:after="80" w:line="264" w:lineRule="auto"/>
        <w:ind w:left="510" w:hanging="510"/>
        <w:jc w:val="both"/>
      </w:pPr>
      <w:r>
        <w:rPr>
          <w:rFonts w:ascii="Calibri" w:hAnsi="Calibri"/>
          <w:b/>
          <w:color w:val="1A1A1A"/>
          <w:sz w:val="21"/>
        </w:rPr>
        <w:t>5.</w:t>
        <w:tab/>
      </w:r>
      <w:r>
        <w:rPr>
          <w:rFonts w:ascii="Calibri" w:hAnsi="Calibri"/>
          <w:b/>
          <w:i w:val="0"/>
          <w:color w:val="1A1A1A"/>
          <w:sz w:val="21"/>
        </w:rPr>
        <w:t>Mélange d'images et double agrégation.</w:t>
      </w:r>
      <w:r>
        <w:rPr>
          <w:rFonts w:ascii="Calibri" w:hAnsi="Calibri"/>
          <w:b w:val="0"/>
          <w:i w:val="0"/>
          <w:color w:val="1A1A1A"/>
          <w:sz w:val="21"/>
        </w:rPr>
        <w:t xml:space="preserve"> La technique du mélange d'images, qui combine deux images et leurs étiquettes, complète le dispositif. La couche d'agrégation finale combine désormais moyenne et maximum, au lieu de la seule moyenne.</w:t>
      </w:r>
    </w:p>
    <w:p>
      <w:pPr>
        <w:pStyle w:val="Heading2"/>
        <w:spacing w:before="200" w:after="60" w:line="252" w:lineRule="auto"/>
        <w:jc w:val="left"/>
        <w:keepLines/>
        <w:keepNext/>
      </w:pPr>
      <w:r>
        <w:rPr>
          <w:rFonts w:ascii="Calibri" w:hAnsi="Calibri"/>
          <w:b/>
          <w:color w:val="000000"/>
          <w:sz w:val="25"/>
        </w:rPr>
        <w:t>Ce que cela coûte en studio</w:t>
      </w:r>
    </w:p>
    <w:p>
      <w:pPr>
        <w:spacing w:before="40" w:after="100" w:line="252" w:lineRule="auto"/>
        <w:jc w:val="both"/>
      </w:pPr>
      <w:r>
        <w:rPr>
          <w:rFonts w:ascii="Calibri" w:hAnsi="Calibri"/>
          <w:b w:val="0"/>
          <w:i w:val="0"/>
          <w:color w:val="1A1A1A"/>
          <w:sz w:val="21"/>
        </w:rPr>
        <w:t>Le premier effet de ces changements est une baisse en conditions de studio, et il faut la présenter avant les gains.</w:t>
      </w:r>
    </w:p>
    <w:tbl>
      <w:tblPr>
        <w:tblStyle w:val="TableGrid"/>
        <w:tblW w:type="auto" w:w="0"/>
        <w:jc w:val="left"/>
        <w:tblLook w:firstColumn="1" w:firstRow="1" w:lastColumn="0" w:lastRow="0" w:noHBand="0" w:noVBand="1" w:val="04A0"/>
      </w:tblPr>
      <w:tblGrid>
        <w:gridCol w:w="3362"/>
        <w:gridCol w:w="3362"/>
        <w:gridCol w:w="3362"/>
      </w:tblGrid>
      <w:tr>
        <w:trPr>
          <w:tblHeader/>
          <w:cantSplit/>
        </w:trPr>
        <w:tc>
          <w:tcPr>
            <w:tcW w:type="dxa" w:w="3362"/>
            <w:shd w:val="clear" w:color="auto" w:fill="D9D9D9"/>
          </w:tcPr>
          <w:p>
            <w:pPr>
              <w:spacing w:before="60" w:after="60"/>
              <w:keepLines/>
              <w:keepNext/>
            </w:pPr>
            <w:r/>
            <w:r>
              <w:rPr>
                <w:rFonts w:ascii="Calibri" w:hAnsi="Calibri"/>
                <w:b/>
                <w:color w:val="000000"/>
                <w:sz w:val="18"/>
              </w:rPr>
              <w:t>Mesure</w:t>
            </w:r>
          </w:p>
        </w:tc>
        <w:tc>
          <w:tcPr>
            <w:tcW w:type="dxa" w:w="3362"/>
            <w:shd w:val="clear" w:color="auto" w:fill="D9D9D9"/>
          </w:tcPr>
          <w:p>
            <w:pPr>
              <w:spacing w:before="60" w:after="60"/>
              <w:keepLines/>
              <w:keepNext/>
            </w:pPr>
            <w:r/>
            <w:r>
              <w:rPr>
                <w:rFonts w:ascii="Calibri" w:hAnsi="Calibri"/>
                <w:b/>
                <w:color w:val="000000"/>
                <w:sz w:val="18"/>
              </w:rPr>
              <w:t>v1</w:t>
            </w:r>
          </w:p>
        </w:tc>
        <w:tc>
          <w:tcPr>
            <w:tcW w:type="dxa" w:w="3362"/>
            <w:shd w:val="clear" w:color="auto" w:fill="D9D9D9"/>
          </w:tcPr>
          <w:p>
            <w:pPr>
              <w:spacing w:before="60" w:after="60"/>
              <w:keepLines/>
              <w:keepNext/>
            </w:pPr>
            <w:r/>
            <w:r>
              <w:rPr>
                <w:rFonts w:ascii="Calibri" w:hAnsi="Calibri"/>
                <w:b/>
                <w:color w:val="000000"/>
                <w:sz w:val="18"/>
              </w:rPr>
              <w:t>v2</w:t>
            </w:r>
          </w:p>
        </w:tc>
      </w:tr>
      <w:tr>
        <w:trPr>
          <w:cantSplit/>
        </w:trPr>
        <w:tc>
          <w:tcPr>
            <w:tcW w:type="dxa" w:w="3362"/>
          </w:tcPr>
          <w:p>
            <w:pPr>
              <w:spacing w:before="60" w:after="60" w:line="259" w:lineRule="auto"/>
              <w:keepLines/>
              <w:keepNext/>
            </w:pPr>
            <w:r/>
            <w:r>
              <w:rPr>
                <w:rFonts w:ascii="Calibri" w:hAnsi="Calibri"/>
                <w:b w:val="0"/>
                <w:i w:val="0"/>
                <w:color w:val="1A1A1A"/>
                <w:sz w:val="18"/>
              </w:rPr>
              <w:t>Exactitude studio</w:t>
            </w:r>
          </w:p>
        </w:tc>
        <w:tc>
          <w:tcPr>
            <w:tcW w:type="dxa" w:w="3362"/>
          </w:tcPr>
          <w:p>
            <w:pPr>
              <w:spacing w:before="60" w:after="60" w:line="259" w:lineRule="auto"/>
              <w:keepLines/>
              <w:keepNext/>
            </w:pPr>
            <w:r/>
            <w:r>
              <w:rPr>
                <w:rFonts w:ascii="Calibri" w:hAnsi="Calibri"/>
                <w:b w:val="0"/>
                <w:i w:val="0"/>
                <w:color w:val="1A1A1A"/>
                <w:sz w:val="18"/>
              </w:rPr>
              <w:t>96,64 %</w:t>
            </w:r>
          </w:p>
        </w:tc>
        <w:tc>
          <w:tcPr>
            <w:tcW w:type="dxa" w:w="3362"/>
          </w:tcPr>
          <w:p>
            <w:pPr>
              <w:spacing w:before="60" w:after="60" w:line="259" w:lineRule="auto"/>
              <w:keepLines/>
              <w:keepNext/>
            </w:pPr>
            <w:r/>
            <w:r>
              <w:rPr>
                <w:rFonts w:ascii="Calibri" w:hAnsi="Calibri"/>
                <w:b w:val="0"/>
                <w:i w:val="0"/>
                <w:color w:val="1A1A1A"/>
                <w:sz w:val="18"/>
              </w:rPr>
              <w:t>94,36 %</w:t>
            </w:r>
          </w:p>
        </w:tc>
      </w:tr>
      <w:tr>
        <w:trPr>
          <w:cantSplit/>
        </w:trPr>
        <w:tc>
          <w:tcPr>
            <w:tcW w:type="dxa" w:w="3362"/>
            <w:shd w:val="clear" w:color="auto" w:fill="F4F4F4"/>
          </w:tcPr>
          <w:p>
            <w:pPr>
              <w:spacing w:before="60" w:after="60" w:line="259" w:lineRule="auto"/>
            </w:pPr>
            <w:r/>
            <w:r>
              <w:rPr>
                <w:rFonts w:ascii="Calibri" w:hAnsi="Calibri"/>
                <w:b w:val="0"/>
                <w:i w:val="0"/>
                <w:color w:val="1A1A1A"/>
                <w:sz w:val="18"/>
              </w:rPr>
              <w:t>F1 macro studio, 10 classes</w:t>
            </w:r>
          </w:p>
        </w:tc>
        <w:tc>
          <w:tcPr>
            <w:tcW w:type="dxa" w:w="3362"/>
            <w:shd w:val="clear" w:color="auto" w:fill="F4F4F4"/>
          </w:tcPr>
          <w:p>
            <w:pPr>
              <w:spacing w:before="60" w:after="60" w:line="259" w:lineRule="auto"/>
            </w:pPr>
            <w:r/>
            <w:r>
              <w:rPr>
                <w:rFonts w:ascii="Calibri" w:hAnsi="Calibri"/>
                <w:b w:val="0"/>
                <w:i w:val="0"/>
                <w:color w:val="1A1A1A"/>
                <w:sz w:val="18"/>
              </w:rPr>
              <w:t>0,9566</w:t>
            </w:r>
          </w:p>
        </w:tc>
        <w:tc>
          <w:tcPr>
            <w:tcW w:type="dxa" w:w="3362"/>
            <w:shd w:val="clear" w:color="auto" w:fill="F4F4F4"/>
          </w:tcPr>
          <w:p>
            <w:pPr>
              <w:spacing w:before="60" w:after="60" w:line="259" w:lineRule="auto"/>
            </w:pPr>
            <w:r/>
            <w:r>
              <w:rPr>
                <w:rFonts w:ascii="Calibri" w:hAnsi="Calibri"/>
                <w:b w:val="0"/>
                <w:i w:val="0"/>
                <w:color w:val="1A1A1A"/>
                <w:sz w:val="18"/>
              </w:rPr>
              <w:t>0,9373</w:t>
            </w:r>
          </w:p>
        </w:tc>
      </w:tr>
    </w:tbl>
    <w:p>
      <w:pPr>
        <w:spacing w:before="60" w:after="160"/>
        <w:jc w:val="left"/>
      </w:pPr>
      <w:r>
        <w:rPr>
          <w:rFonts w:ascii="Calibri" w:hAnsi="Calibri"/>
          <w:b/>
          <w:color w:val="000000"/>
          <w:sz w:val="18"/>
        </w:rPr>
        <w:t xml:space="preserve">Tableau 1. </w:t>
      </w:r>
      <w:r>
        <w:rPr>
          <w:rFonts w:ascii="Calibri" w:hAnsi="Calibri"/>
          <w:i/>
          <w:color w:val="595959"/>
          <w:sz w:val="18"/>
        </w:rPr>
        <w:t>Coût de la version 2 sur le jeu de test PlantVillage.</w:t>
      </w:r>
    </w:p>
    <w:p>
      <w:pPr>
        <w:spacing w:before="40" w:after="100" w:line="252" w:lineRule="auto"/>
        <w:jc w:val="both"/>
      </w:pPr>
      <w:r>
        <w:rPr>
          <w:rFonts w:ascii="Calibri" w:hAnsi="Calibri"/>
          <w:b w:val="0"/>
          <w:i w:val="0"/>
          <w:color w:val="1A1A1A"/>
          <w:sz w:val="21"/>
        </w:rPr>
        <w:t>Le modèle perd 2,28 points d'exactitude sur le corpus de laboratoire. Cette perte est attendue et acceptée : un modèle contraint de généraliser à des conditions plus variées exploite moins finement les régularités d'un studio. Elle serait inquiétante si elle n'était pas compensée ailleurs.</w:t>
      </w:r>
    </w:p>
    <w:p>
      <w:pPr>
        <w:pStyle w:val="Heading2"/>
        <w:spacing w:before="200" w:after="60" w:line="252" w:lineRule="auto"/>
        <w:jc w:val="left"/>
        <w:keepLines/>
        <w:keepNext/>
      </w:pPr>
      <w:r>
        <w:rPr>
          <w:rFonts w:ascii="Calibri" w:hAnsi="Calibri"/>
          <w:b/>
          <w:color w:val="000000"/>
          <w:sz w:val="25"/>
        </w:rPr>
        <w:t>Ce que cela rapporte au champ</w:t>
      </w:r>
    </w:p>
    <w:p>
      <w:pPr>
        <w:spacing w:before="120" w:after="0"/>
        <w:jc w:val="center"/>
        <w:keepLines/>
        <w:keepNext/>
      </w:pPr>
      <w:r>
        <w:drawing>
          <wp:inline xmlns:a="http://schemas.openxmlformats.org/drawingml/2006/main" xmlns:pic="http://schemas.openxmlformats.org/drawingml/2006/picture">
            <wp:extent cx="5760000" cy="2844749"/>
            <wp:docPr id="1" name="Picture 1"/>
            <wp:cNvGraphicFramePr>
              <a:graphicFrameLocks noChangeAspect="1"/>
            </wp:cNvGraphicFramePr>
            <a:graphic>
              <a:graphicData uri="http://schemas.openxmlformats.org/drawingml/2006/picture">
                <pic:pic>
                  <pic:nvPicPr>
                    <pic:cNvPr id="0" name="comparaison_v1_v2_terrain.png"/>
                    <pic:cNvPicPr/>
                  </pic:nvPicPr>
                  <pic:blipFill>
                    <a:blip r:embed="rId10"/>
                    <a:stretch>
                      <a:fillRect/>
                    </a:stretch>
                  </pic:blipFill>
                  <pic:spPr>
                    <a:xfrm>
                      <a:off x="0" y="0"/>
                      <a:ext cx="5760000" cy="2844749"/>
                    </a:xfrm>
                    <a:prstGeom prst="rect"/>
                  </pic:spPr>
                </pic:pic>
              </a:graphicData>
            </a:graphic>
          </wp:inline>
        </w:drawing>
      </w:r>
    </w:p>
    <w:p>
      <w:pPr>
        <w:spacing w:before="60" w:after="160" w:line="252" w:lineRule="auto"/>
        <w:jc w:val="center"/>
      </w:pPr>
      <w:r>
        <w:rPr>
          <w:rFonts w:ascii="Calibri" w:hAnsi="Calibri"/>
          <w:b/>
          <w:color w:val="000000"/>
          <w:sz w:val="18"/>
        </w:rPr>
        <w:t xml:space="preserve">Figure 1. </w:t>
      </w:r>
      <w:r>
        <w:rPr>
          <w:rFonts w:ascii="Calibri" w:hAnsi="Calibri"/>
          <w:i/>
          <w:color w:val="595959"/>
          <w:sz w:val="18"/>
        </w:rPr>
        <w:t>Comparaison des deux versions sur les 942 images de terrain.</w:t>
      </w:r>
    </w:p>
    <w:tbl>
      <w:tblPr>
        <w:tblStyle w:val="TableGrid"/>
        <w:tblW w:type="auto" w:w="0"/>
        <w:jc w:val="left"/>
        <w:tblLook w:firstColumn="1" w:firstRow="1" w:lastColumn="0" w:lastRow="0" w:noHBand="0" w:noVBand="1" w:val="04A0"/>
      </w:tblPr>
      <w:tblGrid>
        <w:gridCol w:w="3362"/>
        <w:gridCol w:w="3362"/>
        <w:gridCol w:w="3362"/>
      </w:tblGrid>
      <w:tr>
        <w:trPr>
          <w:tblHeader/>
          <w:cantSplit/>
        </w:trPr>
        <w:tc>
          <w:tcPr>
            <w:tcW w:type="dxa" w:w="3362"/>
            <w:shd w:val="clear" w:color="auto" w:fill="D9D9D9"/>
          </w:tcPr>
          <w:p>
            <w:pPr>
              <w:spacing w:before="60" w:after="60"/>
            </w:pPr>
            <w:r/>
            <w:r>
              <w:rPr>
                <w:rFonts w:ascii="Calibri" w:hAnsi="Calibri"/>
                <w:b/>
                <w:color w:val="000000"/>
                <w:sz w:val="18"/>
              </w:rPr>
              <w:t>Mesure, corpus PlantDoc</w:t>
            </w:r>
          </w:p>
        </w:tc>
        <w:tc>
          <w:tcPr>
            <w:tcW w:type="dxa" w:w="3362"/>
            <w:shd w:val="clear" w:color="auto" w:fill="D9D9D9"/>
          </w:tcPr>
          <w:p>
            <w:pPr>
              <w:spacing w:before="60" w:after="60"/>
            </w:pPr>
            <w:r/>
            <w:r>
              <w:rPr>
                <w:rFonts w:ascii="Calibri" w:hAnsi="Calibri"/>
                <w:b/>
                <w:color w:val="000000"/>
                <w:sz w:val="18"/>
              </w:rPr>
              <w:t>v1</w:t>
            </w:r>
          </w:p>
        </w:tc>
        <w:tc>
          <w:tcPr>
            <w:tcW w:type="dxa" w:w="3362"/>
            <w:shd w:val="clear" w:color="auto" w:fill="D9D9D9"/>
          </w:tcPr>
          <w:p>
            <w:pPr>
              <w:spacing w:before="60" w:after="60"/>
            </w:pPr>
            <w:r/>
            <w:r>
              <w:rPr>
                <w:rFonts w:ascii="Calibri" w:hAnsi="Calibri"/>
                <w:b/>
                <w:color w:val="000000"/>
                <w:sz w:val="18"/>
              </w:rPr>
              <w:t>v2</w:t>
            </w:r>
          </w:p>
        </w:tc>
      </w:tr>
      <w:tr>
        <w:trPr>
          <w:cantSplit/>
        </w:trPr>
        <w:tc>
          <w:tcPr>
            <w:tcW w:type="dxa" w:w="3362"/>
          </w:tcPr>
          <w:p>
            <w:pPr>
              <w:spacing w:before="60" w:after="60" w:line="259" w:lineRule="auto"/>
            </w:pPr>
            <w:r/>
            <w:r>
              <w:rPr>
                <w:rFonts w:ascii="Calibri" w:hAnsi="Calibri"/>
                <w:b w:val="0"/>
                <w:i w:val="0"/>
                <w:color w:val="1A1A1A"/>
                <w:sz w:val="18"/>
              </w:rPr>
              <w:t>Exactitude</w:t>
            </w:r>
          </w:p>
        </w:tc>
        <w:tc>
          <w:tcPr>
            <w:tcW w:type="dxa" w:w="3362"/>
          </w:tcPr>
          <w:p>
            <w:pPr>
              <w:spacing w:before="60" w:after="60" w:line="259" w:lineRule="auto"/>
            </w:pPr>
            <w:r/>
            <w:r>
              <w:rPr>
                <w:rFonts w:ascii="Calibri" w:hAnsi="Calibri"/>
                <w:b w:val="0"/>
                <w:i w:val="0"/>
                <w:color w:val="1A1A1A"/>
                <w:sz w:val="18"/>
              </w:rPr>
              <w:t>36,27 %</w:t>
            </w:r>
          </w:p>
        </w:tc>
        <w:tc>
          <w:tcPr>
            <w:tcW w:type="dxa" w:w="3362"/>
          </w:tcPr>
          <w:p>
            <w:pPr>
              <w:spacing w:before="60" w:after="60" w:line="259" w:lineRule="auto"/>
            </w:pPr>
            <w:r/>
            <w:r>
              <w:rPr>
                <w:rFonts w:ascii="Calibri" w:hAnsi="Calibri"/>
                <w:b w:val="0"/>
                <w:i w:val="0"/>
                <w:color w:val="1A1A1A"/>
                <w:sz w:val="18"/>
              </w:rPr>
              <w:t>48,99 %</w:t>
            </w:r>
          </w:p>
        </w:tc>
      </w:tr>
      <w:tr>
        <w:trPr>
          <w:cantSplit/>
        </w:trPr>
        <w:tc>
          <w:tcPr>
            <w:tcW w:type="dxa" w:w="3362"/>
            <w:shd w:val="clear" w:color="auto" w:fill="F4F4F4"/>
          </w:tcPr>
          <w:p>
            <w:pPr>
              <w:spacing w:before="60" w:after="60" w:line="259" w:lineRule="auto"/>
            </w:pPr>
            <w:r/>
            <w:r>
              <w:rPr>
                <w:rFonts w:ascii="Calibri" w:hAnsi="Calibri"/>
                <w:b w:val="0"/>
                <w:i w:val="0"/>
                <w:color w:val="1A1A1A"/>
                <w:sz w:val="18"/>
              </w:rPr>
              <w:t>F1 macro, 9 classes</w:t>
            </w:r>
          </w:p>
        </w:tc>
        <w:tc>
          <w:tcPr>
            <w:tcW w:type="dxa" w:w="3362"/>
            <w:shd w:val="clear" w:color="auto" w:fill="F4F4F4"/>
          </w:tcPr>
          <w:p>
            <w:pPr>
              <w:spacing w:before="60" w:after="60" w:line="259" w:lineRule="auto"/>
            </w:pPr>
            <w:r/>
            <w:r>
              <w:rPr>
                <w:rFonts w:ascii="Calibri" w:hAnsi="Calibri"/>
                <w:b w:val="0"/>
                <w:i w:val="0"/>
                <w:color w:val="1A1A1A"/>
                <w:sz w:val="18"/>
              </w:rPr>
              <w:t>0,2671</w:t>
            </w:r>
          </w:p>
        </w:tc>
        <w:tc>
          <w:tcPr>
            <w:tcW w:type="dxa" w:w="3362"/>
            <w:shd w:val="clear" w:color="auto" w:fill="F4F4F4"/>
          </w:tcPr>
          <w:p>
            <w:pPr>
              <w:spacing w:before="60" w:after="60" w:line="259" w:lineRule="auto"/>
            </w:pPr>
            <w:r/>
            <w:r>
              <w:rPr>
                <w:rFonts w:ascii="Calibri" w:hAnsi="Calibri"/>
                <w:b w:val="0"/>
                <w:i w:val="0"/>
                <w:color w:val="1A1A1A"/>
                <w:sz w:val="18"/>
              </w:rPr>
              <w:t>0,4520</w:t>
            </w:r>
          </w:p>
        </w:tc>
      </w:tr>
      <w:tr>
        <w:trPr>
          <w:cantSplit/>
        </w:trPr>
        <w:tc>
          <w:tcPr>
            <w:tcW w:type="dxa" w:w="3362"/>
          </w:tcPr>
          <w:p>
            <w:pPr>
              <w:spacing w:before="60" w:after="60" w:line="259" w:lineRule="auto"/>
            </w:pPr>
            <w:r/>
            <w:r>
              <w:rPr>
                <w:rFonts w:ascii="Calibri" w:hAnsi="Calibri"/>
                <w:b w:val="0"/>
                <w:i w:val="0"/>
                <w:color w:val="1A1A1A"/>
                <w:sz w:val="18"/>
              </w:rPr>
              <w:t>Confiance moyenne quand le diagnostic est juste</w:t>
            </w:r>
          </w:p>
        </w:tc>
        <w:tc>
          <w:tcPr>
            <w:tcW w:type="dxa" w:w="3362"/>
          </w:tcPr>
          <w:p>
            <w:pPr>
              <w:spacing w:before="60" w:after="60" w:line="259" w:lineRule="auto"/>
            </w:pPr>
            <w:r/>
            <w:r>
              <w:rPr>
                <w:rFonts w:ascii="Calibri" w:hAnsi="Calibri"/>
                <w:b w:val="0"/>
                <w:i w:val="0"/>
                <w:color w:val="1A1A1A"/>
                <w:sz w:val="18"/>
              </w:rPr>
              <w:t>84,4 %</w:t>
            </w:r>
          </w:p>
        </w:tc>
        <w:tc>
          <w:tcPr>
            <w:tcW w:type="dxa" w:w="3362"/>
          </w:tcPr>
          <w:p>
            <w:pPr>
              <w:spacing w:before="60" w:after="60" w:line="259" w:lineRule="auto"/>
            </w:pPr>
            <w:r/>
            <w:r>
              <w:rPr>
                <w:rFonts w:ascii="Calibri" w:hAnsi="Calibri"/>
                <w:b w:val="0"/>
                <w:i w:val="0"/>
                <w:color w:val="1A1A1A"/>
                <w:sz w:val="18"/>
              </w:rPr>
              <w:t>50,9 %</w:t>
            </w:r>
          </w:p>
        </w:tc>
      </w:tr>
      <w:tr>
        <w:trPr>
          <w:cantSplit/>
        </w:trPr>
        <w:tc>
          <w:tcPr>
            <w:tcW w:type="dxa" w:w="3362"/>
            <w:shd w:val="clear" w:color="auto" w:fill="F4F4F4"/>
          </w:tcPr>
          <w:p>
            <w:pPr>
              <w:spacing w:before="60" w:after="60" w:line="259" w:lineRule="auto"/>
            </w:pPr>
            <w:r/>
            <w:r>
              <w:rPr>
                <w:rFonts w:ascii="Calibri" w:hAnsi="Calibri"/>
                <w:b w:val="0"/>
                <w:i w:val="0"/>
                <w:color w:val="1A1A1A"/>
                <w:sz w:val="18"/>
              </w:rPr>
              <w:t>Confiance moyenne quand le diagnostic est faux</w:t>
            </w:r>
          </w:p>
        </w:tc>
        <w:tc>
          <w:tcPr>
            <w:tcW w:type="dxa" w:w="3362"/>
            <w:shd w:val="clear" w:color="auto" w:fill="F4F4F4"/>
          </w:tcPr>
          <w:p>
            <w:pPr>
              <w:spacing w:before="60" w:after="60" w:line="259" w:lineRule="auto"/>
            </w:pPr>
            <w:r/>
            <w:r>
              <w:rPr>
                <w:rFonts w:ascii="Calibri" w:hAnsi="Calibri"/>
                <w:b w:val="0"/>
                <w:i w:val="0"/>
                <w:color w:val="1A1A1A"/>
                <w:sz w:val="18"/>
              </w:rPr>
              <w:t>77,3 %</w:t>
            </w:r>
          </w:p>
        </w:tc>
        <w:tc>
          <w:tcPr>
            <w:tcW w:type="dxa" w:w="3362"/>
            <w:shd w:val="clear" w:color="auto" w:fill="F4F4F4"/>
          </w:tcPr>
          <w:p>
            <w:pPr>
              <w:spacing w:before="60" w:after="60" w:line="259" w:lineRule="auto"/>
            </w:pPr>
            <w:r/>
            <w:r>
              <w:rPr>
                <w:rFonts w:ascii="Calibri" w:hAnsi="Calibri"/>
                <w:b w:val="0"/>
                <w:i w:val="0"/>
                <w:color w:val="1A1A1A"/>
                <w:sz w:val="18"/>
              </w:rPr>
              <w:t>40,3 %</w:t>
            </w:r>
          </w:p>
        </w:tc>
      </w:tr>
    </w:tbl>
    <w:p>
      <w:pPr>
        <w:spacing w:before="60" w:after="160"/>
        <w:jc w:val="left"/>
      </w:pPr>
      <w:r>
        <w:rPr>
          <w:rFonts w:ascii="Calibri" w:hAnsi="Calibri"/>
          <w:b/>
          <w:color w:val="000000"/>
          <w:sz w:val="18"/>
        </w:rPr>
        <w:t xml:space="preserve">Tableau 2. </w:t>
      </w:r>
      <w:r>
        <w:rPr>
          <w:rFonts w:ascii="Calibri" w:hAnsi="Calibri"/>
          <w:i/>
          <w:color w:val="595959"/>
          <w:sz w:val="18"/>
        </w:rPr>
        <w:t>Les deux versions mesurées par la chaîne du notebook, qui les traite à l'identique.</w:t>
      </w:r>
    </w:p>
    <w:p>
      <w:pPr>
        <w:spacing w:before="40" w:after="100" w:line="252" w:lineRule="auto"/>
        <w:jc w:val="both"/>
      </w:pPr>
      <w:r>
        <w:rPr>
          <w:rFonts w:ascii="Calibri" w:hAnsi="Calibri"/>
          <w:b w:val="0"/>
          <w:i w:val="0"/>
          <w:color w:val="1A1A1A"/>
          <w:sz w:val="21"/>
        </w:rPr>
        <w:t>Le v1 apparaît ici à 36,27 pour cent, là où le chapitre 6 le donne à 35,67 : c'est la différence entre les deux chaînes de mesure, expliquée en fin de chapitre 6. La chaîne du notebook est retenue dans ce tableau parce qu'elle est la seule à avoir traité les deux versions, ce qui est la condition d'une comparaison honnête entre elles.</w:t>
      </w:r>
    </w:p>
    <w:p>
      <w:pPr>
        <w:spacing w:before="40" w:after="100" w:line="252" w:lineRule="auto"/>
        <w:jc w:val="both"/>
      </w:pPr>
      <w:r>
        <w:rPr>
          <w:rFonts w:ascii="Calibri" w:hAnsi="Calibri"/>
          <w:b w:val="0"/>
          <w:i w:val="0"/>
          <w:color w:val="1A1A1A"/>
          <w:sz w:val="21"/>
        </w:rPr>
        <w:t>L'exactitude au champ progresse de près de treize points et le F1 macro passe de 0,2671 à 0,4520, soit un gain de près de 70 pour cent en valeur relative. Mais la ligne la plus importante de ce tableau n'est pas l'exactitude.</w:t>
      </w:r>
    </w:p>
    <w:p>
      <w:pPr>
        <w:spacing w:before="40" w:after="100" w:line="252" w:lineRule="auto"/>
        <w:jc w:val="both"/>
      </w:pPr>
      <w:r>
        <w:rPr>
          <w:rFonts w:ascii="Calibri" w:hAnsi="Calibri"/>
          <w:b w:val="0"/>
          <w:i w:val="0"/>
          <w:color w:val="1A1A1A"/>
          <w:sz w:val="21"/>
        </w:rPr>
        <w:t>En version 1, la confiance moyenne quand le modèle a raison était de 84,4 pour cent, et de 77,3 pour cent quand il se trompait. Sept points d'écart seulement : la confiance affichée ne permettait pratiquement pas de distinguer un bon diagnostic d'un mauvais. En version 2, ces valeurs deviennent 50,9 et 40,3 pour cent, soit plus de dix points d'écart, sur une échelle de valeurs globalement abaissée. La confiance affichée est devenue un signal exploitable.</w:t>
      </w:r>
    </w:p>
    <w:p>
      <w:pPr>
        <w:pStyle w:val="Heading2"/>
        <w:spacing w:before="200" w:after="60" w:line="252" w:lineRule="auto"/>
        <w:jc w:val="left"/>
        <w:keepLines/>
        <w:keepNext/>
      </w:pPr>
      <w:r>
        <w:rPr>
          <w:rFonts w:ascii="Calibri" w:hAnsi="Calibri"/>
          <w:b/>
          <w:color w:val="000000"/>
          <w:sz w:val="25"/>
        </w:rPr>
        <w:t>Le tableau qui compte : ce que voit l'utilisateur</w:t>
      </w:r>
    </w:p>
    <w:p>
      <w:pPr>
        <w:spacing w:before="40" w:after="100" w:line="252" w:lineRule="auto"/>
        <w:jc w:val="both"/>
      </w:pPr>
      <w:r>
        <w:rPr>
          <w:rFonts w:ascii="Calibri" w:hAnsi="Calibri"/>
          <w:b w:val="0"/>
          <w:i w:val="0"/>
          <w:color w:val="1A1A1A"/>
          <w:sz w:val="21"/>
        </w:rPr>
        <w:t>Les mesures précédentes décrivent le modèle. Celle-ci décrit la plateforme, en ne comptant que les diagnostics effectivement affichés sans avertissement, sur les 942 photographies de terrain.</w:t>
      </w:r>
    </w:p>
    <w:tbl>
      <w:tblPr>
        <w:tblStyle w:val="TableGrid"/>
        <w:tblW w:type="auto" w:w="0"/>
        <w:jc w:val="left"/>
        <w:tblLook w:firstColumn="1" w:firstRow="1" w:lastColumn="0" w:lastRow="0" w:noHBand="0" w:noVBand="1" w:val="04A0"/>
      </w:tblPr>
      <w:tblGrid>
        <w:gridCol w:w="3362"/>
        <w:gridCol w:w="3362"/>
        <w:gridCol w:w="3362"/>
      </w:tblGrid>
      <w:tr>
        <w:trPr>
          <w:tblHeader/>
          <w:cantSplit/>
        </w:trPr>
        <w:tc>
          <w:tcPr>
            <w:tcW w:type="dxa" w:w="3362"/>
            <w:shd w:val="clear" w:color="auto" w:fill="D9D9D9"/>
          </w:tcPr>
          <w:p>
            <w:pPr>
              <w:spacing w:before="60" w:after="60"/>
            </w:pPr>
            <w:r/>
            <w:r>
              <w:rPr>
                <w:rFonts w:ascii="Calibri" w:hAnsi="Calibri"/>
                <w:b/>
                <w:color w:val="000000"/>
                <w:sz w:val="18"/>
              </w:rPr>
            </w:r>
          </w:p>
        </w:tc>
        <w:tc>
          <w:tcPr>
            <w:tcW w:type="dxa" w:w="3362"/>
            <w:shd w:val="clear" w:color="auto" w:fill="D9D9D9"/>
          </w:tcPr>
          <w:p>
            <w:pPr>
              <w:spacing w:before="60" w:after="60"/>
            </w:pPr>
            <w:r/>
            <w:r>
              <w:rPr>
                <w:rFonts w:ascii="Calibri" w:hAnsi="Calibri"/>
                <w:b/>
                <w:color w:val="000000"/>
                <w:sz w:val="18"/>
              </w:rPr>
              <w:t>v1</w:t>
            </w:r>
          </w:p>
        </w:tc>
        <w:tc>
          <w:tcPr>
            <w:tcW w:type="dxa" w:w="3362"/>
            <w:shd w:val="clear" w:color="auto" w:fill="D9D9D9"/>
          </w:tcPr>
          <w:p>
            <w:pPr>
              <w:spacing w:before="60" w:after="60"/>
            </w:pPr>
            <w:r/>
            <w:r>
              <w:rPr>
                <w:rFonts w:ascii="Calibri" w:hAnsi="Calibri"/>
                <w:b/>
                <w:color w:val="000000"/>
                <w:sz w:val="18"/>
              </w:rPr>
              <w:t>v2</w:t>
            </w:r>
          </w:p>
        </w:tc>
      </w:tr>
      <w:tr>
        <w:trPr>
          <w:cantSplit/>
        </w:trPr>
        <w:tc>
          <w:tcPr>
            <w:tcW w:type="dxa" w:w="3362"/>
          </w:tcPr>
          <w:p>
            <w:pPr>
              <w:spacing w:before="60" w:after="60" w:line="259" w:lineRule="auto"/>
            </w:pPr>
            <w:r/>
            <w:r>
              <w:rPr>
                <w:rFonts w:ascii="Calibri" w:hAnsi="Calibri"/>
                <w:b w:val="0"/>
                <w:i w:val="0"/>
                <w:color w:val="1A1A1A"/>
                <w:sz w:val="18"/>
              </w:rPr>
              <w:t>Diagnostics affirmés sans avertissement</w:t>
            </w:r>
          </w:p>
        </w:tc>
        <w:tc>
          <w:tcPr>
            <w:tcW w:type="dxa" w:w="3362"/>
          </w:tcPr>
          <w:p>
            <w:pPr>
              <w:spacing w:before="60" w:after="60" w:line="259" w:lineRule="auto"/>
            </w:pPr>
            <w:r/>
            <w:r>
              <w:rPr>
                <w:rFonts w:ascii="Calibri" w:hAnsi="Calibri"/>
                <w:b w:val="0"/>
                <w:i w:val="0"/>
                <w:color w:val="1A1A1A"/>
                <w:sz w:val="18"/>
              </w:rPr>
              <w:t>672</w:t>
            </w:r>
          </w:p>
        </w:tc>
        <w:tc>
          <w:tcPr>
            <w:tcW w:type="dxa" w:w="3362"/>
          </w:tcPr>
          <w:p>
            <w:pPr>
              <w:spacing w:before="60" w:after="60" w:line="259" w:lineRule="auto"/>
            </w:pPr>
            <w:r/>
            <w:r>
              <w:rPr>
                <w:rFonts w:ascii="Calibri" w:hAnsi="Calibri"/>
                <w:b w:val="0"/>
                <w:i w:val="0"/>
                <w:color w:val="1A1A1A"/>
                <w:sz w:val="18"/>
              </w:rPr>
              <w:t>220</w:t>
            </w:r>
          </w:p>
        </w:tc>
      </w:tr>
      <w:tr>
        <w:trPr>
          <w:cantSplit/>
        </w:trPr>
        <w:tc>
          <w:tcPr>
            <w:tcW w:type="dxa" w:w="3362"/>
            <w:shd w:val="clear" w:color="auto" w:fill="F4F4F4"/>
          </w:tcPr>
          <w:p>
            <w:pPr>
              <w:spacing w:before="60" w:after="60" w:line="259" w:lineRule="auto"/>
            </w:pPr>
            <w:r/>
            <w:r>
              <w:rPr>
                <w:rFonts w:ascii="Calibri" w:hAnsi="Calibri"/>
                <w:b w:val="0"/>
                <w:i w:val="0"/>
                <w:color w:val="1A1A1A"/>
                <w:sz w:val="18"/>
              </w:rPr>
              <w:t>dont corrects</w:t>
            </w:r>
          </w:p>
        </w:tc>
        <w:tc>
          <w:tcPr>
            <w:tcW w:type="dxa" w:w="3362"/>
            <w:shd w:val="clear" w:color="auto" w:fill="F4F4F4"/>
          </w:tcPr>
          <w:p>
            <w:pPr>
              <w:spacing w:before="60" w:after="60" w:line="259" w:lineRule="auto"/>
            </w:pPr>
            <w:r/>
            <w:r>
              <w:rPr>
                <w:rFonts w:ascii="Calibri" w:hAnsi="Calibri"/>
                <w:b w:val="0"/>
                <w:i w:val="0"/>
                <w:color w:val="1A1A1A"/>
                <w:sz w:val="18"/>
              </w:rPr>
              <w:t>269</w:t>
            </w:r>
          </w:p>
        </w:tc>
        <w:tc>
          <w:tcPr>
            <w:tcW w:type="dxa" w:w="3362"/>
            <w:shd w:val="clear" w:color="auto" w:fill="F4F4F4"/>
          </w:tcPr>
          <w:p>
            <w:pPr>
              <w:spacing w:before="60" w:after="60" w:line="259" w:lineRule="auto"/>
            </w:pPr>
            <w:r/>
            <w:r>
              <w:rPr>
                <w:rFonts w:ascii="Calibri" w:hAnsi="Calibri"/>
                <w:b w:val="0"/>
                <w:i w:val="0"/>
                <w:color w:val="1A1A1A"/>
                <w:sz w:val="18"/>
              </w:rPr>
              <w:t>159</w:t>
            </w:r>
          </w:p>
        </w:tc>
      </w:tr>
      <w:tr>
        <w:trPr>
          <w:cantSplit/>
        </w:trPr>
        <w:tc>
          <w:tcPr>
            <w:tcW w:type="dxa" w:w="3362"/>
          </w:tcPr>
          <w:p>
            <w:pPr>
              <w:spacing w:before="60" w:after="60" w:line="259" w:lineRule="auto"/>
            </w:pPr>
            <w:r/>
            <w:r>
              <w:rPr>
                <w:rFonts w:ascii="Calibri" w:hAnsi="Calibri"/>
                <w:b/>
                <w:i w:val="0"/>
                <w:color w:val="1A1A1A"/>
                <w:sz w:val="18"/>
              </w:rPr>
              <w:t>Fiabilité quand l'application affirme</w:t>
            </w:r>
          </w:p>
        </w:tc>
        <w:tc>
          <w:tcPr>
            <w:tcW w:type="dxa" w:w="3362"/>
          </w:tcPr>
          <w:p>
            <w:pPr>
              <w:spacing w:before="60" w:after="60" w:line="259" w:lineRule="auto"/>
            </w:pPr>
            <w:r/>
            <w:r>
              <w:rPr>
                <w:rFonts w:ascii="Calibri" w:hAnsi="Calibri"/>
                <w:b/>
                <w:i w:val="0"/>
                <w:color w:val="1A1A1A"/>
                <w:sz w:val="18"/>
              </w:rPr>
              <w:t>40,0 %</w:t>
            </w:r>
          </w:p>
        </w:tc>
        <w:tc>
          <w:tcPr>
            <w:tcW w:type="dxa" w:w="3362"/>
          </w:tcPr>
          <w:p>
            <w:pPr>
              <w:spacing w:before="60" w:after="60" w:line="259" w:lineRule="auto"/>
            </w:pPr>
            <w:r/>
            <w:r>
              <w:rPr>
                <w:rFonts w:ascii="Calibri" w:hAnsi="Calibri"/>
                <w:b/>
                <w:i w:val="0"/>
                <w:color w:val="1A1A1A"/>
                <w:sz w:val="18"/>
              </w:rPr>
              <w:t>72,3 %</w:t>
            </w:r>
          </w:p>
        </w:tc>
      </w:tr>
      <w:tr>
        <w:trPr>
          <w:cantSplit/>
        </w:trPr>
        <w:tc>
          <w:tcPr>
            <w:tcW w:type="dxa" w:w="3362"/>
            <w:shd w:val="clear" w:color="auto" w:fill="F4F4F4"/>
          </w:tcPr>
          <w:p>
            <w:pPr>
              <w:spacing w:before="60" w:after="60" w:line="259" w:lineRule="auto"/>
            </w:pPr>
            <w:r/>
            <w:r>
              <w:rPr>
                <w:rFonts w:ascii="Calibri" w:hAnsi="Calibri"/>
                <w:b/>
                <w:i w:val="0"/>
                <w:color w:val="1A1A1A"/>
                <w:sz w:val="18"/>
              </w:rPr>
              <w:t>Diagnostics faux affirmés sans avertissement</w:t>
            </w:r>
          </w:p>
        </w:tc>
        <w:tc>
          <w:tcPr>
            <w:tcW w:type="dxa" w:w="3362"/>
            <w:shd w:val="clear" w:color="auto" w:fill="F4F4F4"/>
          </w:tcPr>
          <w:p>
            <w:pPr>
              <w:spacing w:before="60" w:after="60" w:line="259" w:lineRule="auto"/>
            </w:pPr>
            <w:r/>
            <w:r>
              <w:rPr>
                <w:rFonts w:ascii="Calibri" w:hAnsi="Calibri"/>
                <w:b/>
                <w:i w:val="0"/>
                <w:color w:val="1A1A1A"/>
                <w:sz w:val="18"/>
              </w:rPr>
              <w:t>403</w:t>
            </w:r>
          </w:p>
        </w:tc>
        <w:tc>
          <w:tcPr>
            <w:tcW w:type="dxa" w:w="3362"/>
            <w:shd w:val="clear" w:color="auto" w:fill="F4F4F4"/>
          </w:tcPr>
          <w:p>
            <w:pPr>
              <w:spacing w:before="60" w:after="60" w:line="259" w:lineRule="auto"/>
            </w:pPr>
            <w:r/>
            <w:r>
              <w:rPr>
                <w:rFonts w:ascii="Calibri" w:hAnsi="Calibri"/>
                <w:b/>
                <w:i w:val="0"/>
                <w:color w:val="1A1A1A"/>
                <w:sz w:val="18"/>
              </w:rPr>
              <w:t>61</w:t>
            </w:r>
          </w:p>
        </w:tc>
      </w:tr>
    </w:tbl>
    <w:p>
      <w:pPr>
        <w:spacing w:before="60" w:after="160"/>
        <w:jc w:val="left"/>
      </w:pPr>
      <w:r>
        <w:rPr>
          <w:rFonts w:ascii="Calibri" w:hAnsi="Calibri"/>
          <w:b/>
          <w:color w:val="000000"/>
          <w:sz w:val="18"/>
        </w:rPr>
        <w:t xml:space="preserve">Tableau 3. </w:t>
      </w:r>
      <w:r>
        <w:rPr>
          <w:rFonts w:ascii="Calibri" w:hAnsi="Calibri"/>
          <w:i/>
          <w:color w:val="595959"/>
          <w:sz w:val="18"/>
        </w:rPr>
        <w:t>Comportement des deux versions du point de vue de l'utilisateur.</w:t>
      </w:r>
    </w:p>
    <w:p>
      <w:pPr>
        <w:spacing w:before="40" w:after="100" w:line="252" w:lineRule="auto"/>
        <w:jc w:val="both"/>
      </w:pPr>
      <w:r>
        <w:rPr>
          <w:rFonts w:ascii="Calibri" w:hAnsi="Calibri"/>
          <w:b w:val="0"/>
          <w:i w:val="0"/>
          <w:color w:val="1A1A1A"/>
          <w:sz w:val="21"/>
        </w:rPr>
        <w:t>La lecture de ce tableau demande d'accepter une idée peu intuitive. La version 2 se prononce trois fois moins souvent : 220 diagnostics affirmés contre 672. Elle produit même moins de diagnostics justes en valeur absolue, 159 contre 269. À première vue, elle fait moins bien.</w:t>
      </w:r>
    </w:p>
    <w:p>
      <w:pPr>
        <w:spacing w:before="40" w:after="100" w:line="252" w:lineRule="auto"/>
        <w:jc w:val="both"/>
      </w:pPr>
      <w:r>
        <w:rPr>
          <w:rFonts w:ascii="Calibri" w:hAnsi="Calibri"/>
          <w:b w:val="0"/>
          <w:i w:val="0"/>
          <w:color w:val="1A1A1A"/>
          <w:sz w:val="21"/>
        </w:rPr>
        <w:t>Ce qui compte pourtant est la dernière ligne. Le nombre de diagnostics faux annoncés sans le moindre signal passe de 403 à 61, soit une division par près de sept. Et quand l'application affirme quelque chose, elle a raison dans 72,3 pour cent des cas au lieu de 40,0.</w:t>
      </w:r>
    </w:p>
    <w:p>
      <w:pPr>
        <w:spacing w:before="40" w:after="100" w:line="252" w:lineRule="auto"/>
        <w:jc w:val="both"/>
      </w:pPr>
      <w:r>
        <w:rPr>
          <w:rFonts w:ascii="Calibri" w:hAnsi="Calibri"/>
          <w:b w:val="0"/>
          <w:i w:val="0"/>
          <w:color w:val="1A1A1A"/>
          <w:sz w:val="21"/>
        </w:rPr>
        <w:t>La raison pour laquelle cette lecture est la bonne tient à ce que coûte chaque type d'erreur, et ces coûts ne sont pas symétriques. Un diagnostic accompagné d'un avertissement renvoie l'utilisateur vers un conseiller agricole, c'est-à-dire vers la solution qui existait avant la plateforme : le coût est une occasion manquée. Un diagnostic faux affiché avec assurance conduit au contraire à un traitement inadapté, appliqué sur la foi de l'outil, avec une dépense engagée et du temps perdu pendant que la maladie progresse. Le second cas laisse l'utilisateur dans une situation pire que s'il n'avait rien consulté. Une plateforme qui divise ce cas par sept, même au prix de se taire trois fois plus souvent, est donc préférable, et la comparaison des exactitudes brutes ne le montre pas.</w:t>
      </w:r>
    </w:p>
    <w:p>
      <w:pPr>
        <w:spacing w:before="40" w:after="100" w:line="252" w:lineRule="auto"/>
        <w:jc w:val="both"/>
      </w:pPr>
      <w:r>
        <w:rPr>
          <w:rFonts w:ascii="Calibri" w:hAnsi="Calibri"/>
          <w:b w:val="0"/>
          <w:i w:val="0"/>
          <w:color w:val="1A1A1A"/>
          <w:sz w:val="21"/>
        </w:rPr>
        <w:t>Ce raisonnement suppose que l'avertissement soit compris et suivi, ce qui n'a pas été vérifié auprès d'utilisateurs réels. Le chapitre 9 inscrit cette réserve parmi les limites du projet.</w:t>
      </w:r>
    </w:p>
    <w:p>
      <w:pPr>
        <w:spacing w:before="200" w:after="200" w:line="264" w:lineRule="auto"/>
        <w:ind w:left="113" w:right="113"/>
        <w:jc w:val="both"/>
        <w:shd w:val="clear" w:color="auto" w:fill="F2F2F2"/>
        <w:pBdr>
          <w:top w:val="single" w:sz="6" w:space="8" w:color="808080"/>
          <w:left w:val="single" w:sz="6" w:space="8" w:color="808080"/>
          <w:bottom w:val="single" w:sz="6" w:space="8" w:color="808080"/>
          <w:right w:val="single" w:sz="6" w:space="8" w:color="808080"/>
        </w:pBdr>
        <w:keepLines/>
      </w:pPr>
      <w:r>
        <w:rPr>
          <w:rFonts w:ascii="Calibri" w:hAnsi="Calibri"/>
          <w:b/>
          <w:color w:val="000000"/>
          <w:sz w:val="19"/>
        </w:rPr>
        <w:t xml:space="preserve">À RETENIR   </w:t>
      </w:r>
      <w:r>
        <w:rPr>
          <w:rFonts w:ascii="Calibri" w:hAnsi="Calibri"/>
          <w:color w:val="1A1A1A"/>
          <w:sz w:val="20"/>
        </w:rPr>
        <w:t>Un outil qui se tait quand il ne sait pas est plus utile qu'un outil qui parle toujours. La version 1 affirmait 403 diagnostics faux avec assurance ; la version 2 en affirme 61. C'est le résultat que le projet retient.</w:t>
      </w:r>
    </w:p>
    <w:p>
      <w:pPr>
        <w:pStyle w:val="Heading2"/>
        <w:spacing w:before="200" w:after="60" w:line="252" w:lineRule="auto"/>
        <w:jc w:val="left"/>
        <w:keepLines/>
        <w:keepNext/>
      </w:pPr>
      <w:r>
        <w:rPr>
          <w:rFonts w:ascii="Calibri" w:hAnsi="Calibri"/>
          <w:b/>
          <w:color w:val="000000"/>
          <w:sz w:val="25"/>
        </w:rPr>
        <w:t>Le réglage du seuil d'avertissement</w:t>
      </w:r>
    </w:p>
    <w:p>
      <w:pPr>
        <w:spacing w:before="40" w:after="100" w:line="252" w:lineRule="auto"/>
        <w:jc w:val="both"/>
      </w:pPr>
      <w:r>
        <w:rPr>
          <w:rFonts w:ascii="Calibri" w:hAnsi="Calibri"/>
          <w:b w:val="0"/>
          <w:i w:val="0"/>
          <w:color w:val="1A1A1A"/>
          <w:sz w:val="21"/>
        </w:rPr>
        <w:t xml:space="preserve">Le lissage des étiquettes abaisse mécaniquement toutes les probabilités produites par le modèle, y compris quand la réponse est juste. Le seuil d'avertissement de l'application a donc dû être réajusté : il est passé de 70 pour cent pour la version 1 à </w:t>
      </w:r>
      <w:r>
        <w:rPr>
          <w:rFonts w:ascii="Calibri" w:hAnsi="Calibri"/>
          <w:b/>
          <w:i w:val="0"/>
          <w:color w:val="1A1A1A"/>
          <w:sz w:val="21"/>
        </w:rPr>
        <w:t>60 pour cent</w:t>
      </w:r>
      <w:r>
        <w:rPr>
          <w:rFonts w:ascii="Calibri" w:hAnsi="Calibri"/>
          <w:b w:val="0"/>
          <w:i w:val="0"/>
          <w:color w:val="1A1A1A"/>
          <w:sz w:val="21"/>
        </w:rPr>
        <w:t xml:space="preserve"> pour la version 2. Sans cet ajustement, l'application aurait signalé comme douteux des diagnostics parfaitement corrects, et l'avertissement aurait perdu son sens à force d'apparaître.</w:t>
      </w:r>
    </w:p>
    <w:p>
      <w:pPr>
        <w:spacing w:before="40" w:after="100" w:line="252" w:lineRule="auto"/>
        <w:jc w:val="both"/>
      </w:pPr>
      <w:r>
        <w:rPr>
          <w:rFonts w:ascii="Calibri" w:hAnsi="Calibri"/>
          <w:b w:val="0"/>
          <w:i w:val="0"/>
          <w:color w:val="1A1A1A"/>
          <w:sz w:val="21"/>
        </w:rPr>
        <w:t xml:space="preserve">Un point d'honnêteté est nécessaire ici, plutôt que d'attendre la question. Ce seuil a été retenu après comparaison de plusieurs valeurs, mais </w:t>
      </w:r>
      <w:r>
        <w:rPr>
          <w:rFonts w:ascii="Calibri" w:hAnsi="Calibri"/>
          <w:b/>
          <w:i w:val="0"/>
          <w:color w:val="1A1A1A"/>
          <w:sz w:val="21"/>
        </w:rPr>
        <w:t>ce balayage n'apparaît nulle part dans le code du dépôt</w:t>
      </w:r>
      <w:r>
        <w:rPr>
          <w:rFonts w:ascii="Calibri" w:hAnsi="Calibri"/>
          <w:b w:val="0"/>
          <w:i w:val="0"/>
          <w:color w:val="1A1A1A"/>
          <w:sz w:val="21"/>
        </w:rPr>
        <w:t xml:space="preserve"> : seule la valeur finale y figure. Deux conséquences en découlent, et elles doivent être écrites. D'abord, le choix n'est pas reproductible en l'état à partir du seul dépôt. Ensuite, si la comparaison a été menée sur PlantDoc, alors ce corpus a servi à régler un paramètre, et il n'est plus totalement vierge pour ce réglage précis. Il le demeure pour tout le reste, puisqu'aucune de ses images n'a jamais été vue en entraînement, mais la nuance méritait d'être posée.</w:t>
      </w:r>
    </w:p>
    <w:p>
      <w:pPr>
        <w:pStyle w:val="Heading2"/>
        <w:spacing w:before="200" w:after="60" w:line="252" w:lineRule="auto"/>
        <w:jc w:val="left"/>
        <w:keepLines/>
        <w:keepNext/>
      </w:pPr>
      <w:r>
        <w:rPr>
          <w:rFonts w:ascii="Calibri" w:hAnsi="Calibri"/>
          <w:b/>
          <w:color w:val="000000"/>
          <w:sz w:val="25"/>
        </w:rPr>
        <w:t>Où le gain se situe, classe par classe</w:t>
      </w:r>
    </w:p>
    <w:tbl>
      <w:tblPr>
        <w:tblStyle w:val="TableGrid"/>
        <w:tblW w:type="auto" w:w="0"/>
        <w:jc w:val="left"/>
        <w:tblLook w:firstColumn="1" w:firstRow="1" w:lastColumn="0" w:lastRow="0" w:noHBand="0" w:noVBand="1" w:val="04A0"/>
      </w:tblPr>
      <w:tblGrid>
        <w:gridCol w:w="3362"/>
        <w:gridCol w:w="3362"/>
        <w:gridCol w:w="3362"/>
      </w:tblGrid>
      <w:tr>
        <w:trPr>
          <w:tblHeader/>
          <w:cantSplit/>
        </w:trPr>
        <w:tc>
          <w:tcPr>
            <w:tcW w:type="dxa" w:w="3362"/>
            <w:shd w:val="clear" w:color="auto" w:fill="D9D9D9"/>
          </w:tcPr>
          <w:p>
            <w:pPr>
              <w:spacing w:before="60" w:after="60"/>
            </w:pPr>
            <w:r/>
            <w:r>
              <w:rPr>
                <w:rFonts w:ascii="Calibri" w:hAnsi="Calibri"/>
                <w:b/>
                <w:color w:val="000000"/>
                <w:sz w:val="18"/>
              </w:rPr>
              <w:t>Classe</w:t>
            </w:r>
          </w:p>
        </w:tc>
        <w:tc>
          <w:tcPr>
            <w:tcW w:type="dxa" w:w="3362"/>
            <w:shd w:val="clear" w:color="auto" w:fill="D9D9D9"/>
          </w:tcPr>
          <w:p>
            <w:pPr>
              <w:spacing w:before="60" w:after="60"/>
            </w:pPr>
            <w:r/>
            <w:r>
              <w:rPr>
                <w:rFonts w:ascii="Calibri" w:hAnsi="Calibri"/>
                <w:b/>
                <w:color w:val="000000"/>
                <w:sz w:val="18"/>
              </w:rPr>
              <w:t>F1 terrain v1</w:t>
            </w:r>
          </w:p>
        </w:tc>
        <w:tc>
          <w:tcPr>
            <w:tcW w:type="dxa" w:w="3362"/>
            <w:shd w:val="clear" w:color="auto" w:fill="D9D9D9"/>
          </w:tcPr>
          <w:p>
            <w:pPr>
              <w:spacing w:before="60" w:after="60"/>
            </w:pPr>
            <w:r/>
            <w:r>
              <w:rPr>
                <w:rFonts w:ascii="Calibri" w:hAnsi="Calibri"/>
                <w:b/>
                <w:color w:val="000000"/>
                <w:sz w:val="18"/>
              </w:rPr>
              <w:t>F1 terrain v2</w:t>
            </w:r>
          </w:p>
        </w:tc>
      </w:tr>
      <w:tr>
        <w:trPr>
          <w:cantSplit/>
        </w:trPr>
        <w:tc>
          <w:tcPr>
            <w:tcW w:type="dxa" w:w="3362"/>
          </w:tcPr>
          <w:p>
            <w:pPr>
              <w:spacing w:before="60" w:after="60" w:line="259" w:lineRule="auto"/>
            </w:pPr>
            <w:r/>
            <w:r>
              <w:rPr>
                <w:rFonts w:ascii="Calibri" w:hAnsi="Calibri"/>
                <w:b w:val="0"/>
                <w:i w:val="0"/>
                <w:color w:val="1A1A1A"/>
                <w:sz w:val="18"/>
              </w:rPr>
              <w:t>Tomate - Saine</w:t>
            </w:r>
          </w:p>
        </w:tc>
        <w:tc>
          <w:tcPr>
            <w:tcW w:type="dxa" w:w="3362"/>
          </w:tcPr>
          <w:p>
            <w:pPr>
              <w:spacing w:before="60" w:after="60" w:line="259" w:lineRule="auto"/>
            </w:pPr>
            <w:r/>
            <w:r>
              <w:rPr>
                <w:rFonts w:ascii="Calibri" w:hAnsi="Calibri"/>
                <w:b w:val="0"/>
                <w:i w:val="0"/>
                <w:color w:val="1A1A1A"/>
                <w:sz w:val="18"/>
              </w:rPr>
              <w:t>0,060</w:t>
            </w:r>
          </w:p>
        </w:tc>
        <w:tc>
          <w:tcPr>
            <w:tcW w:type="dxa" w:w="3362"/>
          </w:tcPr>
          <w:p>
            <w:pPr>
              <w:spacing w:before="60" w:after="60" w:line="259" w:lineRule="auto"/>
            </w:pPr>
            <w:r/>
            <w:r>
              <w:rPr>
                <w:rFonts w:ascii="Calibri" w:hAnsi="Calibri"/>
                <w:b w:val="0"/>
                <w:i w:val="0"/>
                <w:color w:val="1A1A1A"/>
                <w:sz w:val="18"/>
              </w:rPr>
              <w:t>0,591</w:t>
            </w:r>
          </w:p>
        </w:tc>
      </w:tr>
      <w:tr>
        <w:trPr>
          <w:cantSplit/>
        </w:trPr>
        <w:tc>
          <w:tcPr>
            <w:tcW w:type="dxa" w:w="3362"/>
            <w:shd w:val="clear" w:color="auto" w:fill="F4F4F4"/>
          </w:tcPr>
          <w:p>
            <w:pPr>
              <w:spacing w:before="60" w:after="60" w:line="259" w:lineRule="auto"/>
            </w:pPr>
            <w:r/>
            <w:r>
              <w:rPr>
                <w:rFonts w:ascii="Calibri" w:hAnsi="Calibri"/>
                <w:b w:val="0"/>
                <w:i w:val="0"/>
                <w:color w:val="1A1A1A"/>
                <w:sz w:val="18"/>
              </w:rPr>
              <w:t>Tomate - Mildiou tardif</w:t>
            </w:r>
          </w:p>
        </w:tc>
        <w:tc>
          <w:tcPr>
            <w:tcW w:type="dxa" w:w="3362"/>
            <w:shd w:val="clear" w:color="auto" w:fill="F4F4F4"/>
          </w:tcPr>
          <w:p>
            <w:pPr>
              <w:spacing w:before="60" w:after="60" w:line="259" w:lineRule="auto"/>
            </w:pPr>
            <w:r/>
            <w:r>
              <w:rPr>
                <w:rFonts w:ascii="Calibri" w:hAnsi="Calibri"/>
                <w:b w:val="0"/>
                <w:i w:val="0"/>
                <w:color w:val="1A1A1A"/>
                <w:sz w:val="18"/>
              </w:rPr>
              <w:t>0,506</w:t>
            </w:r>
          </w:p>
        </w:tc>
        <w:tc>
          <w:tcPr>
            <w:tcW w:type="dxa" w:w="3362"/>
            <w:shd w:val="clear" w:color="auto" w:fill="F4F4F4"/>
          </w:tcPr>
          <w:p>
            <w:pPr>
              <w:spacing w:before="60" w:after="60" w:line="259" w:lineRule="auto"/>
            </w:pPr>
            <w:r/>
            <w:r>
              <w:rPr>
                <w:rFonts w:ascii="Calibri" w:hAnsi="Calibri"/>
                <w:b w:val="0"/>
                <w:i w:val="0"/>
                <w:color w:val="1A1A1A"/>
                <w:sz w:val="18"/>
              </w:rPr>
              <w:t>0,691</w:t>
            </w:r>
          </w:p>
        </w:tc>
      </w:tr>
      <w:tr>
        <w:trPr>
          <w:cantSplit/>
        </w:trPr>
        <w:tc>
          <w:tcPr>
            <w:tcW w:type="dxa" w:w="3362"/>
          </w:tcPr>
          <w:p>
            <w:pPr>
              <w:spacing w:before="60" w:after="60" w:line="259" w:lineRule="auto"/>
            </w:pPr>
            <w:r/>
            <w:r>
              <w:rPr>
                <w:rFonts w:ascii="Calibri" w:hAnsi="Calibri"/>
                <w:b w:val="0"/>
                <w:i w:val="0"/>
                <w:color w:val="1A1A1A"/>
                <w:sz w:val="18"/>
              </w:rPr>
              <w:t>Tomate - Tache bactérienne</w:t>
            </w:r>
          </w:p>
        </w:tc>
        <w:tc>
          <w:tcPr>
            <w:tcW w:type="dxa" w:w="3362"/>
          </w:tcPr>
          <w:p>
            <w:pPr>
              <w:spacing w:before="60" w:after="60" w:line="259" w:lineRule="auto"/>
            </w:pPr>
            <w:r/>
            <w:r>
              <w:rPr>
                <w:rFonts w:ascii="Calibri" w:hAnsi="Calibri"/>
                <w:b w:val="0"/>
                <w:i w:val="0"/>
                <w:color w:val="1A1A1A"/>
                <w:sz w:val="18"/>
              </w:rPr>
              <w:t>0,044</w:t>
            </w:r>
          </w:p>
        </w:tc>
        <w:tc>
          <w:tcPr>
            <w:tcW w:type="dxa" w:w="3362"/>
          </w:tcPr>
          <w:p>
            <w:pPr>
              <w:spacing w:before="60" w:after="60" w:line="259" w:lineRule="auto"/>
            </w:pPr>
            <w:r/>
            <w:r>
              <w:rPr>
                <w:rFonts w:ascii="Calibri" w:hAnsi="Calibri"/>
                <w:b w:val="0"/>
                <w:i w:val="0"/>
                <w:color w:val="1A1A1A"/>
                <w:sz w:val="18"/>
              </w:rPr>
              <w:t>0,245</w:t>
            </w:r>
          </w:p>
        </w:tc>
      </w:tr>
      <w:tr>
        <w:trPr>
          <w:cantSplit/>
        </w:trPr>
        <w:tc>
          <w:tcPr>
            <w:tcW w:type="dxa" w:w="3362"/>
            <w:shd w:val="clear" w:color="auto" w:fill="F4F4F4"/>
          </w:tcPr>
          <w:p>
            <w:pPr>
              <w:spacing w:before="60" w:after="60" w:line="259" w:lineRule="auto"/>
            </w:pPr>
            <w:r/>
            <w:r>
              <w:rPr>
                <w:rFonts w:ascii="Calibri" w:hAnsi="Calibri"/>
                <w:b w:val="0"/>
                <w:i w:val="0"/>
                <w:color w:val="1A1A1A"/>
                <w:sz w:val="18"/>
              </w:rPr>
              <w:t>Tomate - Septoriose</w:t>
            </w:r>
          </w:p>
        </w:tc>
        <w:tc>
          <w:tcPr>
            <w:tcW w:type="dxa" w:w="3362"/>
            <w:shd w:val="clear" w:color="auto" w:fill="F4F4F4"/>
          </w:tcPr>
          <w:p>
            <w:pPr>
              <w:spacing w:before="60" w:after="60" w:line="259" w:lineRule="auto"/>
            </w:pPr>
            <w:r/>
            <w:r>
              <w:rPr>
                <w:rFonts w:ascii="Calibri" w:hAnsi="Calibri"/>
                <w:b w:val="0"/>
                <w:i w:val="0"/>
                <w:color w:val="1A1A1A"/>
                <w:sz w:val="18"/>
              </w:rPr>
              <w:t>0,471</w:t>
            </w:r>
          </w:p>
        </w:tc>
        <w:tc>
          <w:tcPr>
            <w:tcW w:type="dxa" w:w="3362"/>
            <w:shd w:val="clear" w:color="auto" w:fill="F4F4F4"/>
          </w:tcPr>
          <w:p>
            <w:pPr>
              <w:spacing w:before="60" w:after="60" w:line="259" w:lineRule="auto"/>
            </w:pPr>
            <w:r/>
            <w:r>
              <w:rPr>
                <w:rFonts w:ascii="Calibri" w:hAnsi="Calibri"/>
                <w:b w:val="0"/>
                <w:i w:val="0"/>
                <w:color w:val="1A1A1A"/>
                <w:sz w:val="18"/>
              </w:rPr>
              <w:t>0,403</w:t>
            </w:r>
          </w:p>
        </w:tc>
      </w:tr>
      <w:tr>
        <w:trPr>
          <w:cantSplit/>
        </w:trPr>
        <w:tc>
          <w:tcPr>
            <w:tcW w:type="dxa" w:w="3362"/>
          </w:tcPr>
          <w:p>
            <w:pPr>
              <w:spacing w:before="60" w:after="60" w:line="259" w:lineRule="auto"/>
            </w:pPr>
            <w:r/>
            <w:r>
              <w:rPr>
                <w:rFonts w:ascii="Calibri" w:hAnsi="Calibri"/>
                <w:b w:val="0"/>
                <w:i w:val="0"/>
                <w:color w:val="1A1A1A"/>
                <w:sz w:val="18"/>
              </w:rPr>
              <w:t>Maïs - Rouille commune</w:t>
            </w:r>
          </w:p>
        </w:tc>
        <w:tc>
          <w:tcPr>
            <w:tcW w:type="dxa" w:w="3362"/>
          </w:tcPr>
          <w:p>
            <w:pPr>
              <w:spacing w:before="60" w:after="60" w:line="259" w:lineRule="auto"/>
            </w:pPr>
            <w:r/>
            <w:r>
              <w:rPr>
                <w:rFonts w:ascii="Calibri" w:hAnsi="Calibri"/>
                <w:b w:val="0"/>
                <w:i w:val="0"/>
                <w:color w:val="1A1A1A"/>
                <w:sz w:val="18"/>
              </w:rPr>
              <w:t>0,241</w:t>
            </w:r>
          </w:p>
        </w:tc>
        <w:tc>
          <w:tcPr>
            <w:tcW w:type="dxa" w:w="3362"/>
          </w:tcPr>
          <w:p>
            <w:pPr>
              <w:spacing w:before="60" w:after="60" w:line="259" w:lineRule="auto"/>
            </w:pPr>
            <w:r/>
            <w:r>
              <w:rPr>
                <w:rFonts w:ascii="Calibri" w:hAnsi="Calibri"/>
                <w:b w:val="0"/>
                <w:i w:val="0"/>
                <w:color w:val="1A1A1A"/>
                <w:sz w:val="18"/>
              </w:rPr>
              <w:t>0,607</w:t>
            </w:r>
          </w:p>
        </w:tc>
      </w:tr>
      <w:tr>
        <w:trPr>
          <w:cantSplit/>
        </w:trPr>
        <w:tc>
          <w:tcPr>
            <w:tcW w:type="dxa" w:w="3362"/>
            <w:shd w:val="clear" w:color="auto" w:fill="F4F4F4"/>
          </w:tcPr>
          <w:p>
            <w:pPr>
              <w:spacing w:before="60" w:after="60" w:line="259" w:lineRule="auto"/>
            </w:pPr>
            <w:r/>
            <w:r>
              <w:rPr>
                <w:rFonts w:ascii="Calibri" w:hAnsi="Calibri"/>
                <w:b w:val="0"/>
                <w:i w:val="0"/>
                <w:color w:val="1A1A1A"/>
                <w:sz w:val="18"/>
              </w:rPr>
              <w:t>Maïs - Helminthosporiose</w:t>
            </w:r>
          </w:p>
        </w:tc>
        <w:tc>
          <w:tcPr>
            <w:tcW w:type="dxa" w:w="3362"/>
            <w:shd w:val="clear" w:color="auto" w:fill="F4F4F4"/>
          </w:tcPr>
          <w:p>
            <w:pPr>
              <w:spacing w:before="60" w:after="60" w:line="259" w:lineRule="auto"/>
            </w:pPr>
            <w:r/>
            <w:r>
              <w:rPr>
                <w:rFonts w:ascii="Calibri" w:hAnsi="Calibri"/>
                <w:b w:val="0"/>
                <w:i w:val="0"/>
                <w:color w:val="1A1A1A"/>
                <w:sz w:val="18"/>
              </w:rPr>
              <w:t>0,432</w:t>
            </w:r>
          </w:p>
        </w:tc>
        <w:tc>
          <w:tcPr>
            <w:tcW w:type="dxa" w:w="3362"/>
            <w:shd w:val="clear" w:color="auto" w:fill="F4F4F4"/>
          </w:tcPr>
          <w:p>
            <w:pPr>
              <w:spacing w:before="60" w:after="60" w:line="259" w:lineRule="auto"/>
            </w:pPr>
            <w:r/>
            <w:r>
              <w:rPr>
                <w:rFonts w:ascii="Calibri" w:hAnsi="Calibri"/>
                <w:b w:val="0"/>
                <w:i w:val="0"/>
                <w:color w:val="1A1A1A"/>
                <w:sz w:val="18"/>
              </w:rPr>
              <w:t>0,522</w:t>
            </w:r>
          </w:p>
        </w:tc>
      </w:tr>
      <w:tr>
        <w:trPr>
          <w:cantSplit/>
        </w:trPr>
        <w:tc>
          <w:tcPr>
            <w:tcW w:type="dxa" w:w="3362"/>
          </w:tcPr>
          <w:p>
            <w:pPr>
              <w:spacing w:before="60" w:after="60" w:line="259" w:lineRule="auto"/>
            </w:pPr>
            <w:r/>
            <w:r>
              <w:rPr>
                <w:rFonts w:ascii="Calibri" w:hAnsi="Calibri"/>
                <w:b w:val="0"/>
                <w:i w:val="0"/>
                <w:color w:val="1A1A1A"/>
                <w:sz w:val="18"/>
              </w:rPr>
              <w:t>Maïs - Cercosporiose</w:t>
            </w:r>
          </w:p>
        </w:tc>
        <w:tc>
          <w:tcPr>
            <w:tcW w:type="dxa" w:w="3362"/>
          </w:tcPr>
          <w:p>
            <w:pPr>
              <w:spacing w:before="60" w:after="60" w:line="259" w:lineRule="auto"/>
            </w:pPr>
            <w:r/>
            <w:r>
              <w:rPr>
                <w:rFonts w:ascii="Calibri" w:hAnsi="Calibri"/>
                <w:b w:val="0"/>
                <w:i w:val="0"/>
                <w:color w:val="1A1A1A"/>
                <w:sz w:val="18"/>
              </w:rPr>
              <w:t>0,361</w:t>
            </w:r>
          </w:p>
        </w:tc>
        <w:tc>
          <w:tcPr>
            <w:tcW w:type="dxa" w:w="3362"/>
          </w:tcPr>
          <w:p>
            <w:pPr>
              <w:spacing w:before="60" w:after="60" w:line="259" w:lineRule="auto"/>
            </w:pPr>
            <w:r/>
            <w:r>
              <w:rPr>
                <w:rFonts w:ascii="Calibri" w:hAnsi="Calibri"/>
                <w:b w:val="0"/>
                <w:i w:val="0"/>
                <w:color w:val="1A1A1A"/>
                <w:sz w:val="18"/>
              </w:rPr>
              <w:t>0,440</w:t>
            </w:r>
          </w:p>
        </w:tc>
      </w:tr>
      <w:tr>
        <w:trPr>
          <w:cantSplit/>
        </w:trPr>
        <w:tc>
          <w:tcPr>
            <w:tcW w:type="dxa" w:w="3362"/>
            <w:shd w:val="clear" w:color="auto" w:fill="F4F4F4"/>
          </w:tcPr>
          <w:p>
            <w:pPr>
              <w:spacing w:before="60" w:after="60" w:line="259" w:lineRule="auto"/>
            </w:pPr>
            <w:r/>
            <w:r>
              <w:rPr>
                <w:rFonts w:ascii="Calibri" w:hAnsi="Calibri"/>
                <w:b w:val="0"/>
                <w:i w:val="0"/>
                <w:color w:val="1A1A1A"/>
                <w:sz w:val="18"/>
              </w:rPr>
              <w:t>Poivron - Sain</w:t>
            </w:r>
          </w:p>
        </w:tc>
        <w:tc>
          <w:tcPr>
            <w:tcW w:type="dxa" w:w="3362"/>
            <w:shd w:val="clear" w:color="auto" w:fill="F4F4F4"/>
          </w:tcPr>
          <w:p>
            <w:pPr>
              <w:spacing w:before="60" w:after="60" w:line="259" w:lineRule="auto"/>
            </w:pPr>
            <w:r/>
            <w:r>
              <w:rPr>
                <w:rFonts w:ascii="Calibri" w:hAnsi="Calibri"/>
                <w:b w:val="0"/>
                <w:i w:val="0"/>
                <w:color w:val="1A1A1A"/>
                <w:sz w:val="18"/>
              </w:rPr>
              <w:t>0,211</w:t>
            </w:r>
          </w:p>
        </w:tc>
        <w:tc>
          <w:tcPr>
            <w:tcW w:type="dxa" w:w="3362"/>
            <w:shd w:val="clear" w:color="auto" w:fill="F4F4F4"/>
          </w:tcPr>
          <w:p>
            <w:pPr>
              <w:spacing w:before="60" w:after="60" w:line="259" w:lineRule="auto"/>
            </w:pPr>
            <w:r/>
            <w:r>
              <w:rPr>
                <w:rFonts w:ascii="Calibri" w:hAnsi="Calibri"/>
                <w:b w:val="0"/>
                <w:i w:val="0"/>
                <w:color w:val="1A1A1A"/>
                <w:sz w:val="18"/>
              </w:rPr>
              <w:t>0,564</w:t>
            </w:r>
          </w:p>
        </w:tc>
      </w:tr>
      <w:tr>
        <w:trPr>
          <w:cantSplit/>
        </w:trPr>
        <w:tc>
          <w:tcPr>
            <w:tcW w:type="dxa" w:w="3362"/>
          </w:tcPr>
          <w:p>
            <w:pPr>
              <w:spacing w:before="60" w:after="60" w:line="259" w:lineRule="auto"/>
            </w:pPr>
            <w:r/>
            <w:r>
              <w:rPr>
                <w:rFonts w:ascii="Calibri" w:hAnsi="Calibri"/>
                <w:b w:val="0"/>
                <w:i w:val="0"/>
                <w:color w:val="1A1A1A"/>
                <w:sz w:val="18"/>
              </w:rPr>
              <w:t>Poivron - Tache bactérienne</w:t>
            </w:r>
          </w:p>
        </w:tc>
        <w:tc>
          <w:tcPr>
            <w:tcW w:type="dxa" w:w="3362"/>
          </w:tcPr>
          <w:p>
            <w:pPr>
              <w:spacing w:before="60" w:after="60" w:line="259" w:lineRule="auto"/>
            </w:pPr>
            <w:r/>
            <w:r>
              <w:rPr>
                <w:rFonts w:ascii="Calibri" w:hAnsi="Calibri"/>
                <w:b w:val="0"/>
                <w:i w:val="0"/>
                <w:color w:val="1A1A1A"/>
                <w:sz w:val="18"/>
              </w:rPr>
              <w:t>0,345</w:t>
            </w:r>
          </w:p>
        </w:tc>
        <w:tc>
          <w:tcPr>
            <w:tcW w:type="dxa" w:w="3362"/>
          </w:tcPr>
          <w:p>
            <w:pPr>
              <w:spacing w:before="60" w:after="60" w:line="259" w:lineRule="auto"/>
            </w:pPr>
            <w:r/>
            <w:r>
              <w:rPr>
                <w:rFonts w:ascii="Calibri" w:hAnsi="Calibri"/>
                <w:b w:val="0"/>
                <w:i w:val="0"/>
                <w:color w:val="1A1A1A"/>
                <w:sz w:val="18"/>
              </w:rPr>
              <w:t>0,457</w:t>
            </w:r>
          </w:p>
        </w:tc>
      </w:tr>
    </w:tbl>
    <w:p>
      <w:pPr>
        <w:spacing w:before="60" w:after="160"/>
        <w:jc w:val="left"/>
      </w:pPr>
      <w:r>
        <w:rPr>
          <w:rFonts w:ascii="Calibri" w:hAnsi="Calibri"/>
          <w:b/>
          <w:color w:val="000000"/>
          <w:sz w:val="18"/>
        </w:rPr>
        <w:t xml:space="preserve">Tableau 4. </w:t>
      </w:r>
      <w:r>
        <w:rPr>
          <w:rFonts w:ascii="Calibri" w:hAnsi="Calibri"/>
          <w:i/>
          <w:color w:val="595959"/>
          <w:sz w:val="18"/>
        </w:rPr>
        <w:t>F1 par classe au champ, mesuré par le notebook sur les deux versions.</w:t>
      </w:r>
    </w:p>
    <w:p>
      <w:pPr>
        <w:spacing w:before="40" w:after="100" w:line="252" w:lineRule="auto"/>
        <w:jc w:val="both"/>
      </w:pPr>
      <w:r>
        <w:rPr>
          <w:rFonts w:ascii="Calibri" w:hAnsi="Calibri"/>
          <w:b w:val="0"/>
          <w:i w:val="0"/>
          <w:color w:val="1A1A1A"/>
          <w:sz w:val="21"/>
        </w:rPr>
        <w:t>Le gain le plus spectaculaire concerne les deux classes de plantes saines, tomate et poivron, qui passent respectivement de 0,060 à 0,591 et de 0,211 à 0,564. C'est exactement ce que l'ajout de PlantWild pouvait apporter : le modèle a enfin vu à quoi ressemble une plante en bonne santé dans son milieu naturel.</w:t>
      </w:r>
    </w:p>
    <w:p>
      <w:pPr>
        <w:spacing w:before="40" w:after="100" w:line="252" w:lineRule="auto"/>
        <w:jc w:val="both"/>
      </w:pPr>
      <w:r>
        <w:rPr>
          <w:rFonts w:ascii="Calibri" w:hAnsi="Calibri"/>
          <w:b w:val="0"/>
          <w:i w:val="0"/>
          <w:color w:val="1A1A1A"/>
          <w:sz w:val="21"/>
        </w:rPr>
        <w:t>Une classe recule, la septoriose de la tomate, de 0,471 à 0,403. Le chapitre 8 apporte un élément d'explication troublant sur cette classe précise, à partir de l'examen des cartes d'interprétabilité.</w:t>
      </w:r>
    </w:p>
    <w:p>
      <w:pPr>
        <w:spacing w:before="120" w:after="0"/>
        <w:jc w:val="center"/>
        <w:keepLines/>
        <w:keepNext/>
      </w:pPr>
      <w:r>
        <w:drawing>
          <wp:inline xmlns:a="http://schemas.openxmlformats.org/drawingml/2006/main" xmlns:pic="http://schemas.openxmlformats.org/drawingml/2006/picture">
            <wp:extent cx="5220000" cy="4179240"/>
            <wp:docPr id="2" name="Picture 2"/>
            <wp:cNvGraphicFramePr>
              <a:graphicFrameLocks noChangeAspect="1"/>
            </wp:cNvGraphicFramePr>
            <a:graphic>
              <a:graphicData uri="http://schemas.openxmlformats.org/drawingml/2006/picture">
                <pic:pic>
                  <pic:nvPicPr>
                    <pic:cNvPr id="0" name="confusion_terrain_v2.png"/>
                    <pic:cNvPicPr/>
                  </pic:nvPicPr>
                  <pic:blipFill>
                    <a:blip r:embed="rId11"/>
                    <a:stretch>
                      <a:fillRect/>
                    </a:stretch>
                  </pic:blipFill>
                  <pic:spPr>
                    <a:xfrm>
                      <a:off x="0" y="0"/>
                      <a:ext cx="5220000" cy="4179240"/>
                    </a:xfrm>
                    <a:prstGeom prst="rect"/>
                  </pic:spPr>
                </pic:pic>
              </a:graphicData>
            </a:graphic>
          </wp:inline>
        </w:drawing>
      </w:r>
    </w:p>
    <w:p>
      <w:pPr>
        <w:spacing w:before="60" w:after="160" w:line="252" w:lineRule="auto"/>
        <w:jc w:val="center"/>
      </w:pPr>
      <w:r>
        <w:rPr>
          <w:rFonts w:ascii="Calibri" w:hAnsi="Calibri"/>
          <w:b/>
          <w:color w:val="000000"/>
          <w:sz w:val="18"/>
        </w:rPr>
        <w:t xml:space="preserve">Figure 2. </w:t>
      </w:r>
      <w:r>
        <w:rPr>
          <w:rFonts w:ascii="Calibri" w:hAnsi="Calibri"/>
          <w:i/>
          <w:color w:val="595959"/>
          <w:sz w:val="18"/>
        </w:rPr>
        <w:t>Matrice de confusion du modèle v2 sur les 942 images de terrain.</w:t>
      </w:r>
    </w:p>
    <w:p>
      <w:pPr>
        <w:pStyle w:val="Heading2"/>
        <w:spacing w:before="200" w:after="60" w:line="252" w:lineRule="auto"/>
        <w:jc w:val="left"/>
        <w:keepLines/>
        <w:keepNext/>
      </w:pPr>
      <w:r>
        <w:rPr>
          <w:rFonts w:ascii="Calibri" w:hAnsi="Calibri"/>
          <w:b/>
          <w:color w:val="000000"/>
          <w:sz w:val="25"/>
        </w:rPr>
        <w:t>Les deux modèles sont conservés</w:t>
      </w:r>
    </w:p>
    <w:p>
      <w:pPr>
        <w:spacing w:before="40" w:after="100" w:line="252" w:lineRule="auto"/>
        <w:jc w:val="both"/>
      </w:pPr>
      <w:r>
        <w:rPr>
          <w:rFonts w:ascii="Calibri" w:hAnsi="Calibri"/>
          <w:b w:val="0"/>
          <w:i w:val="0"/>
          <w:color w:val="1A1A1A"/>
          <w:sz w:val="21"/>
        </w:rPr>
        <w:t xml:space="preserve">La version 1 n'a pas été écrasée. Les deux fichiers coexistent, et la version servie est désignée par une variable d'environnement dans </w:t>
      </w:r>
      <w:r>
        <w:rPr>
          <w:rFonts w:ascii="Consolas" w:hAnsi="Consolas"/>
          <w:b w:val="0"/>
          <w:i w:val="0"/>
          <w:color w:val="1A1A1A"/>
          <w:sz w:val="20"/>
        </w:rPr>
        <w:t>docker-compose.yml</w:t>
      </w:r>
      <w:r>
        <w:rPr>
          <w:rFonts w:ascii="Calibri" w:hAnsi="Calibri"/>
          <w:b w:val="0"/>
          <w:i w:val="0"/>
          <w:color w:val="1A1A1A"/>
          <w:sz w:val="21"/>
        </w:rPr>
        <w:t xml:space="preserve">. Remplacer </w:t>
      </w:r>
      <w:r>
        <w:rPr>
          <w:rFonts w:ascii="Consolas" w:hAnsi="Consolas"/>
          <w:b w:val="0"/>
          <w:i w:val="0"/>
          <w:color w:val="1A1A1A"/>
          <w:sz w:val="20"/>
        </w:rPr>
        <w:t>v2</w:t>
      </w:r>
      <w:r>
        <w:rPr>
          <w:rFonts w:ascii="Calibri" w:hAnsi="Calibri"/>
          <w:b w:val="0"/>
          <w:i w:val="0"/>
          <w:color w:val="1A1A1A"/>
          <w:sz w:val="21"/>
        </w:rPr>
        <w:t xml:space="preserve"> par </w:t>
      </w:r>
      <w:r>
        <w:rPr>
          <w:rFonts w:ascii="Consolas" w:hAnsi="Consolas"/>
          <w:b w:val="0"/>
          <w:i w:val="0"/>
          <w:color w:val="1A1A1A"/>
          <w:sz w:val="20"/>
        </w:rPr>
        <w:t>v1</w:t>
      </w:r>
      <w:r>
        <w:rPr>
          <w:rFonts w:ascii="Calibri" w:hAnsi="Calibri"/>
          <w:b w:val="0"/>
          <w:i w:val="0"/>
          <w:color w:val="1A1A1A"/>
          <w:sz w:val="21"/>
        </w:rPr>
        <w:t xml:space="preserve"> et relancer suffit à rejouer la comparaison de ce chapitre sur la plateforme réelle, sans réentraîner quoi que ce soit. Le service annonce d'ailleurs la version qu'il sert réellement, déduite du nom du fichier chargé, ce qui rend impossible le cas d'un service qui annoncerait une version en en servant une autre.</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AgriVision-AI    |    Chapitre 7    |    page </w:t>
    </w:r>
    <w:r>
      <w:rPr>
        <w:rFonts w:ascii="Calibri" w:hAnsi="Calibri"/>
        <w:b w:val="0"/>
        <w:color w:val="595959"/>
        <w:sz w:val="16"/>
      </w:rPr>
      <w:fldChar w:fldCharType="begin"/>
      <w:instrText xml:space="preserve">PAGE</w:instrText>
      <w:fldChar w:fldCharType="separate"/>
      <w:fldChar w:fldCharType="end"/>
    </w:r>
    <w:r>
      <w:rPr>
        <w:rFonts w:ascii="Calibri" w:hAnsi="Calibri"/>
        <w:color w:val="595959"/>
        <w:sz w:val="16"/>
      </w:rPr>
      <w:t xml:space="preserve"> sur </w:t>
    </w:r>
    <w:r>
      <w:rPr>
        <w:rFonts w:ascii="Calibri" w:hAnsi="Calibri"/>
        <w:b w:val="0"/>
        <w:color w:val="595959"/>
        <w:sz w:val="16"/>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AgriVision-AI : chapitre 7, La version 2 : apprendre à douter</dc:title>
  <dc:subject>Diagnostic des maladies des cultures par vision par ordinateur, et mesure honnête de ce qu'un tel modèle vaut au champ</dc:subject>
  <dc:creator>Faustin Félicien Pikbougoum</dc:creator>
  <cp:keywords/>
  <dc:description/>
  <cp:lastModifiedBy>Faustin Félicien Pikbougoum</cp:lastModifiedBy>
  <cp:revision>1</cp:revision>
  <dcterms:created xsi:type="dcterms:W3CDTF">2026-08-30T15:09:18Z</dcterms:created>
  <dcterms:modified xsi:type="dcterms:W3CDTF">2026-08-30T15:09:18Z</dcterms:modified>
  <cp:category/>
</cp:coreProperties>
</file>