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LLMVis — Assisted Demo Notes</w:t>
      </w:r>
    </w:p>
    <w:p>
      <w:pPr>
        <w:spacing w:after="80"/>
        <w:jc w:val="center"/>
      </w:pPr>
      <w:r>
        <w:rPr>
          <w:color w:val="6C757D"/>
        </w:rPr>
        <w:t xml:space="preserve">Thesis Committee Walkthrough · Charlie Pearlman · 2026</w:t>
      </w:r>
    </w:p>
    <w:p>
      <w:pPr>
        <w:spacing w:after="240"/>
        <w:jc w:val="center"/>
      </w:pPr>
      <w:r>
        <w:rPr>
          <w:i/>
          <w:iCs/>
          <w:color w:val="6C757D"/>
        </w:rPr>
        <w:t xml:space="preserve">Screen stays on the live site the entire time. These notes drive narration, not slides.</w:t>
      </w:r>
    </w:p>
    <w:p>
      <w:pPr>
        <w:pStyle w:val="Heading2"/>
        <w:spacing w:after="120" w:before="240"/>
      </w:pPr>
      <w:r>
        <w:t xml:space="preserve">How to use these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section lists the panel/action you'll be on, then 3–6 talking bullets.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Italic grey lines are cues to yourself ("click X", "point at Y") — not things to say out loud.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snippets are short reference quotes you can glance at if a committee member asks to see the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length: 20–30 minutes. Skip optional deep bullets if pressed for time.</w:t>
      </w:r>
    </w:p>
    <w:p>
      <w:pPr>
        <w:pStyle w:val="Heading1"/>
        <w:spacing w:after="180" w:before="360"/>
      </w:pPr>
      <w:r>
        <w:t xml:space="preserve">1. Opening (≈ 60 seconds)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Landing page loaded, model dropdown visible, no prompt entered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sentence on the problem: Transformer LLMs produce output without showing their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sentence on the goal: LLMVis is an intro educational tool that exposes the forward pass between prompt and completion.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sentence on what we're about to do: walk the pipeline stage-by-stage, run two live experiments (ablation, attribution), and demo the chatbot + RAG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 positioning up front — this is an intro tool for students and curious readers, not a universal interpretability platform.</w:t>
      </w:r>
    </w:p>
    <w:p>
      <w:pPr>
        <w:pStyle w:val="Heading1"/>
        <w:spacing w:after="180" w:before="360"/>
      </w:pPr>
      <w:r>
        <w:t xml:space="preserve">2. Supported Models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Open the model dropdown so the five options are visible.</w:t>
      </w:r>
    </w:p>
    <w:p>
      <w:pPr>
        <w:pStyle w:val="Heading2"/>
        <w:spacing w:after="120" w:before="240"/>
      </w:pPr>
      <w:r>
        <w:t xml:space="preserve">The five families shipped in the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GPT-2 (124M, 355M)</w:t>
      </w:r>
      <w:r>
        <w:t xml:space="preserve"> — OpenAI’s classic decoder-only baseline. Absolute positional encoding, LayerNorm, GELU. The hook logic is verified here first because the architecture is the most documented in every interpretability paper.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GPT-Neo (125M, EleutherAI)</w:t>
      </w:r>
      <w:r>
        <w:t xml:space="preserve"> — Similar to GPT-2 but introduces local/sparse attention. Confirms the pipeline handles variations on the GPT-2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Pythia (160M, 410M, EleutherAI)</w:t>
      </w:r>
      <w:r>
        <w:t xml:space="preserve"> — Rotary positional encoding, parallel attention + MLP. Specifically selected because Pythia was trained with intermediate checkpoints the interpretability community 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OPT-125M (Meta)</w:t>
      </w:r>
      <w:r>
        <w:t xml:space="preserve"> — Meta’s open replication of GPT-3-class models. ReLU activation instead of GELU. Different module path layout (model.decoder.layers.N) — stress-tests whether the dynamic hook resolution actually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Qwen2.5-0.5B (Alibaba)</w:t>
      </w:r>
      <w:r>
        <w:t xml:space="preserve"> — Modern open-weight family. RMSNorm instead of LayerNorm, SiLU activation, rotary embeddings. Farthest architectural step from GPT-2 — this is the real test that the hook system generalizes.</w:t>
      </w:r>
    </w:p>
    <w:p>
      <w:pPr>
        <w:pStyle w:val="Heading2"/>
        <w:spacing w:after="120" w:before="240"/>
      </w:pPr>
      <w:r>
        <w:t xml:space="preserve">Selection criteria — what I filtered 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weights. Closed-weight APIs don't expose residual-stream tensors, so they're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Decoder-only architecture. The 5-stage pipeline story only holds cleanly for causal decoders.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Fits on a single GPU with a reasonable prompt length — drives the overall size ceiling.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Architectural diversity across the shortlist — LayerNorm vs. RMSNorm, GELU/ReLU/SiLU, absolute vs. rotary PE — so one passing test doesn’t mean the system only handles GPT-2.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Deep cut only if asked: LLaMA family is not loaded today — the hook pattern matchers include it, but memory ceiling + tokenizer gating kept it out of the deployed dropdown.</w:t>
      </w:r>
    </w:p>
    <w:p>
      <w:pPr>
        <w:pStyle w:val="Heading1"/>
        <w:spacing w:after="180" w:before="360"/>
      </w:pPr>
      <w:r>
        <w:t xml:space="preserve">3. Beam Search (Generation Loop)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Enter the chef prompt, set beam width 3, max tokens ≈ 10, run generation.</w:t>
      </w:r>
    </w:p>
    <w:p>
      <w:pPr>
        <w:pStyle w:val="Heading2"/>
        <w:spacing w:after="120" w:before="240"/>
      </w:pPr>
      <w:r>
        <w:t xml:space="preserve">What’s on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beams fan out at each step; the kept ones are colored, the pruned ones grey.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beam shows cumulative log-probability — that’s its score.</w:t>
      </w:r>
    </w:p>
    <w:p>
      <w:pPr>
        <w:pStyle w:val="Heading2"/>
        <w:spacing w:after="120" w:before="240"/>
      </w:pPr>
      <w:r>
        <w:t xml:space="preserve">How the loop actually works (utils/beam_search.py)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prompt as a single beam, score = 0. At each step, for every live beam I run a forward pass, take </w:t>
      </w:r>
      <w:r>
        <w:rPr>
          <w:rFonts w:ascii="Consolas" w:cs="Consolas" w:eastAsia="Consolas" w:hAnsi="Consolas"/>
          <w:sz w:val="20"/>
          <w:szCs w:val="20"/>
        </w:rPr>
        <w:t xml:space="preserve">log_softmax</w:t>
      </w:r>
      <w:r>
        <w:t xml:space="preserve"> of the final-position logits, grab the top-k tokens, and extend the beam with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I sort all candidates across all beams by cumulative log-prob and keep the global top-</w:t>
      </w:r>
      <w:r>
        <w:rPr>
          <w:rFonts w:ascii="Consolas" w:cs="Consolas" w:eastAsia="Consolas" w:hAnsi="Consolas"/>
          <w:sz w:val="20"/>
          <w:szCs w:val="20"/>
        </w:rPr>
        <w:t xml:space="preserve">k</w:t>
      </w:r>
      <w:r>
        <w:t xml:space="preserve"> — that’s the pruning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for max_new_tokens steps; decode each surviving beam back to text.</w:t>
      </w:r>
    </w:p>
    <w:p>
      <w:pPr>
        <w:pBdr>
          <w:left w:val="single" w:color="CED4DA" w:sz="12" w:space="8"/>
        </w:pBdr>
        <w:shd w:fill="F1F3F5" w:val="clear"/>
        <w:spacing w:after="16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Core loop — utils/beam_search.py
for _ in range(max_new_tokens):
    candidates = []
    for seq, score in beams:
        outputs = model(seq)
        next_token_logits = outputs.logits[:, -1, :]
        next_token_log_probs = F.log_softmax(next_token_logits, dim=-1)
        top_log_probs, top_indices = torch.topk(
            next_token_log_probs, beam_width, dim=-1)
        for i in range(beam_width):
            new_seq = torch.cat([seq, token_id], dim=1)
            candidates.append((new_seq, score + log_prob))
    beams = sorted(candidates, key=lambda x: x[1], reverse=True)[:beam_width]</w:t>
      </w:r>
    </w:p>
    <w:p>
      <w:pPr>
        <w:pStyle w:val="Heading2"/>
        <w:spacing w:after="120" w:before="240"/>
      </w:pPr>
      <w:r>
        <w:t xml:space="preserve">Why this matters for the experiments later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Ablation hooks are installed before the beam loop and stay active for every forward pass — so disabling a head affects the whole generation, not just the first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That’s what makes the ablation comparison meaningful across multi-token outputs.</w:t>
      </w:r>
    </w:p>
    <w:p>
      <w:pPr>
        <w:pStyle w:val="Heading1"/>
        <w:spacing w:after="180" w:before="360"/>
      </w:pPr>
      <w:r>
        <w:t xml:space="preserve">4. The Five-Stage Pipeline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Scroll to the top of the pipeline visualization. Walk through each stage panel.</w:t>
      </w:r>
    </w:p>
    <w:p>
      <w:pPr>
        <w:pStyle w:val="Heading2"/>
        <w:spacing w:after="120" w:before="240"/>
      </w:pPr>
      <w:r>
        <w:t xml:space="preserve">Stage 1 — Tokenization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custom tokenizer logic. I use each model’s own HuggingFace AutoTokenizer and surface its output verbatim.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educational payoff is making BPE subword splits observable: "transformer" → "transform" + "er". Students see the boundaries before we talk about anything deeper.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 tokens and byte-level artifacts (the leading-space G in GPT-2) are cleaned in the display but visible on hover.</w:t>
      </w:r>
    </w:p>
    <w:p>
      <w:pPr>
        <w:pStyle w:val="Heading2"/>
        <w:spacing w:after="120" w:before="240"/>
      </w:pPr>
      <w:r>
        <w:t xml:space="preserve">Stage 2 — Embedding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IDs look up into the model’s own </w:t>
      </w:r>
      <w:r>
        <w:rPr>
          <w:rFonts w:ascii="Consolas" w:cs="Consolas" w:eastAsia="Consolas" w:hAnsi="Consolas"/>
          <w:sz w:val="20"/>
          <w:szCs w:val="20"/>
        </w:rPr>
        <w:t xml:space="preserve">wte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embed_tokens</w:t>
      </w:r>
      <w:r>
        <w:t xml:space="preserve"> matrix — no learned logic of mine sits between the tokenizer and the residual 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These vectors are captured once and are the entry of the residual stream. Every downstream lens — attention patterns, logit-lens, integrated gradients — reads from tensors that originate here.</w:t>
      </w:r>
    </w:p>
    <w:p>
      <w:pPr>
        <w:pStyle w:val="Heading2"/>
        <w:spacing w:after="120" w:before="240"/>
      </w:pPr>
      <w:r>
        <w:t xml:space="preserve">Stage 3 — Attention (BertViz integration)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Open the BertViz head view. Hover through a few layers.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 hooks registered on each attention module capture the per-layer </w:t>
      </w:r>
      <w:r>
        <w:rPr>
          <w:rFonts w:ascii="Consolas" w:cs="Consolas" w:eastAsia="Consolas" w:hAnsi="Consolas"/>
          <w:sz w:val="20"/>
          <w:szCs w:val="20"/>
        </w:rPr>
        <w:t xml:space="preserve">[batch, heads, seq, seq]</w:t>
      </w:r>
      <w:r>
        <w:t xml:space="preserve"> weight tensors during the real forward pass — no separate second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Captured tensors are reshaped into BertViz’s expected format and handed to its head_view renderer. The library draws; the capture is 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 on screen: Vig, 2019 — “A Multiscale Visualization of Attention in the Transformer Model.”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detail on the custom BertViz in §6.</w:t>
      </w:r>
    </w:p>
    <w:p>
      <w:pPr>
        <w:pStyle w:val="Heading2"/>
        <w:spacing w:after="120" w:before="240"/>
      </w:pPr>
      <w:r>
        <w:t xml:space="preserve">Stage 4 — MLP + Logit Lens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every transformer block, I capture the residual state and multiply it by the model’s unembedding matrix (tied or separate, depending on family) to produce per-layer vocabulary logits.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Top-k decoding at each depth reveals how the prediction evolves layer-by-layer — you literally watch the model “make up its mind.”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Citation: nostalgebraist, 2020 — “Interpreting GPT: the Logit Lens.”</w:t>
      </w:r>
    </w:p>
    <w:p>
      <w:pPr>
        <w:pStyle w:val="Heading2"/>
        <w:spacing w:after="120" w:before="240"/>
      </w:pPr>
      <w:r>
        <w:t xml:space="preserve">Stage 5 — 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residual → final LayerNorm → unembedding projection → softmax, yielding the token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Kept as a distinct stage because (a) the final projection shouldn’t be conflated with the per-layer MLP feeding it, and (b) this is the exact tensor beam search consumes — so the user sees the handoff.</w:t>
      </w:r>
    </w:p>
    <w:p>
      <w:pPr>
        <w:pStyle w:val="Heading2"/>
        <w:spacing w:after="120" w:before="240"/>
      </w:pPr>
      <w:r>
        <w:t xml:space="preserve">Capture snippet (utils/model_patterns.py)</w:t>
      </w:r>
    </w:p>
    <w:p>
      <w:pPr>
        <w:pBdr>
          <w:left w:val="single" w:color="CED4DA" w:sz="12" w:space="8"/>
        </w:pBdr>
        <w:shd w:fill="F1F3F5" w:val="clear"/>
        <w:spacing w:after="16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The key registration pattern — same shape for every captured module
for mod_name in all_modules:
    hook = model.get_submodule(mod_name).register_forward_hook(
        lambda module, inputs, output, name=mod_name:
            captured.update({name: {"output": safe_to_serializable(output)}})
    )
with torch.no_grad():
    model_output = model(**inputs, use_cache=False, output_attentions=True)</w:t>
      </w:r>
    </w:p>
    <w:p>
      <w:pPr>
        <w:pStyle w:val="Heading1"/>
        <w:spacing w:after="180" w:before="360"/>
      </w:pPr>
      <w:r>
        <w:t xml:space="preserve">5. Offline Attention-Head Classification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Switch to the head-category cards. Point at the six roles.</w:t>
      </w:r>
    </w:p>
    <w:p>
      <w:pPr>
        <w:pStyle w:val="Heading2"/>
        <w:spacing w:after="120" w:before="240"/>
      </w:pPr>
      <w:r>
        <w:t xml:space="preserve">What runs, when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one-time script (</w:t>
      </w:r>
      <w:r>
        <w:rPr>
          <w:rFonts w:ascii="Consolas" w:cs="Consolas" w:eastAsia="Consolas" w:hAnsi="Consolas"/>
          <w:sz w:val="20"/>
          <w:szCs w:val="20"/>
        </w:rPr>
        <w:t xml:space="preserve">scripts/analyze_heads.py</w:t>
      </w:r>
      <w:r>
        <w:t xml:space="preserve">) runs each supported model over a controlled prompt set and classifies every attention head into one of six roles: previous-token, induction, duplicate-token, positional/first, diffuse/spread, other.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is a JSON lookup keyed by model · layer · head (</w:t>
      </w:r>
      <w:r>
        <w:rPr>
          <w:rFonts w:ascii="Consolas" w:cs="Consolas" w:eastAsia="Consolas" w:hAnsi="Consolas"/>
          <w:sz w:val="20"/>
          <w:szCs w:val="20"/>
        </w:rPr>
        <w:t xml:space="preserve">utils/head_categories.json</w:t>
      </w:r>
      <w:r>
        <w:t xml:space="preserve">). Runtime loads it once and keeps it in memory.</w:t>
      </w:r>
    </w:p>
    <w:p>
      <w:pPr>
        <w:pStyle w:val="Heading2"/>
        <w:spacing w:after="120" w:before="240"/>
      </w:pPr>
      <w:r>
        <w:t xml:space="preserve">Citations — what this work is grounded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Olsson et al., 2022</w:t>
      </w:r>
      <w:r>
        <w:t xml:space="preserve"> — “In-context Learning and Induction Heads” (Anthropic). Defines induction heads and the conceptual framework for attributing behaviors to specific heads.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Nanda &amp; Olsson — TransformerLens Induction Heads notebook</w:t>
      </w:r>
      <w:r>
        <w:t xml:space="preserve">. My pattern-detection heuristics are adapted from the metrics in that notebook (previous-token diagonal scoring, induction pattern matching, duplicate-token aggregation).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specific modification is: their notebook demonstrates these on GPT-2 Small interactively; I productionized the metrics into a batch script that emits a JSON the live app can consult in O(1).</w:t>
      </w:r>
    </w:p>
    <w:p>
      <w:pPr>
        <w:pStyle w:val="Heading2"/>
        <w:spacing w:after="120" w:before="240"/>
      </w:pPr>
      <w:r>
        <w:t xml:space="preserve">Why offline, not runtime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Classification requires sweeping a curated probe set (repetition prompts, natural text, induction-pattern prompts). Doing that inside a Dash callback would stall the UI for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Separating the expensive analysis from the cheap lookup is a concrete example of the "computation" vs. "view" split the architecture enforces.</w:t>
      </w:r>
    </w:p>
    <w:p>
      <w:pPr>
        <w:pStyle w:val="Heading1"/>
        <w:spacing w:after="180" w:before="360"/>
      </w:pPr>
      <w:r>
        <w:t xml:space="preserve">6. Runtime Head Verification + Custom BertViz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Type the repetition prompt: "The cat sat on the mat. The cat sat on the". Run it.</w:t>
      </w:r>
    </w:p>
    <w:p>
      <w:pPr>
        <w:pStyle w:val="Heading2"/>
        <w:spacing w:after="120" w:before="240"/>
      </w:pPr>
      <w:r>
        <w:t xml:space="preserve">What the runtime check does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head in the cached category list, I compute an activation score against the live attention matrix: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Previous-token → mean of the diagonal-1 entries.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Induction → for every repeated token at position </w:t>
      </w:r>
      <w:r>
        <w:rPr>
          <w:rFonts w:ascii="Consolas" w:cs="Consolas" w:eastAsia="Consolas" w:hAnsi="Consolas"/>
          <w:sz w:val="20"/>
          <w:szCs w:val="20"/>
        </w:rPr>
        <w:t xml:space="preserve">i</w:t>
      </w:r>
      <w:r>
        <w:t xml:space="preserve">, check attention to </w:t>
      </w:r>
      <w:r>
        <w:rPr>
          <w:rFonts w:ascii="Consolas" w:cs="Consolas" w:eastAsia="Consolas" w:hAnsi="Consolas"/>
          <w:sz w:val="20"/>
          <w:szCs w:val="20"/>
        </w:rPr>
        <w:t xml:space="preserve">prev_pos + 1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Duplicate-token → sum of attention from a later occurrence back to earlier occurrences of the same token.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Positional → mean of column-0 attention.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Diffuse → normalized entropy averaged across positions.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head is “active” on this input if its score exceeds 0.1. That's a </w:t>
      </w:r>
      <w:r>
        <w:rPr>
          <w:b/>
          <w:bCs/>
        </w:rPr>
        <w:t xml:space="preserve">per-prompt</w:t>
      </w:r>
      <w:r>
        <w:t xml:space="preserve"> check on top of the static classification — the static label says "this head generally does X," the runtime score says "and it's doing X </w:t>
      </w:r>
      <w:r>
        <w:rPr>
          <w:i/>
          <w:iCs/>
        </w:rPr>
        <w:t xml:space="preserve">right now</w:t>
      </w:r>
      <w:r>
        <w:t xml:space="preserve"> on this prompt."</w:t>
      </w:r>
    </w:p>
    <w:p>
      <w:pPr>
        <w:pStyle w:val="Heading2"/>
        <w:spacing w:after="120" w:before="240"/>
      </w:pPr>
      <w:r>
        <w:t xml:space="preserve">Design tradeoff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Expensive classification runs once, offline. Runtime check is lightweight enough that every new prompt refreshes the cards in sub-second time — categories don’t block the Dash callbacks.</w:t>
      </w:r>
    </w:p>
    <w:p>
      <w:pPr>
        <w:pStyle w:val="Heading2"/>
        <w:spacing w:after="120" w:before="240"/>
      </w:pPr>
      <w:r>
        <w:t xml:space="preserve">Custom BertViz graphs — what’s different from stock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patches land on the stock BertViz HTML output before it’s rendered into Dash: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headColors</w:t>
      </w:r>
      <w:r>
        <w:t xml:space="preserve"> is replaced with a 16-color palette that matches the dashboard’s swatch system — no color collisions for the models we ship.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Head-index labels (0, 1, 2, …) are injected into the head-selector checkboxes via a D3 text append, so you can identify a head by number directly in the viz, not just by hovering.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patches are applied with a string replace on the rendered HTML — surgical, no fork of the library.</w:t>
      </w:r>
    </w:p>
    <w:p>
      <w:pPr>
        <w:pBdr>
          <w:left w:val="single" w:color="CED4DA" w:sz="12" w:space="8"/>
        </w:pBdr>
        <w:shd w:fill="F1F3F5" w:val="clear"/>
        <w:spacing w:after="16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utils/model_patterns.py — the color patch
html_str = html_str.replace(
    'headColors = d3.scaleOrdinal(d3.schemeCategory10);',
    f'headColors = d3.scaleOrdinal({BERTVIZ_HEAD_COLORS});'
)</w:t>
      </w:r>
    </w:p>
    <w:p>
      <w:pPr>
        <w:pStyle w:val="Heading1"/>
        <w:spacing w:after="180" w:before="360"/>
      </w:pPr>
      <w:r>
        <w:t xml:space="preserve">7. Ablation Experiment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Open the ablation panel. Use the category buttons to preselect induction + duplicate-token heads. Run.</w:t>
      </w:r>
    </w:p>
    <w:p>
      <w:pPr>
        <w:pStyle w:val="Heading2"/>
        <w:spacing w:after="120" w:before="240"/>
      </w:pPr>
      <w:r>
        <w:t xml:space="preserve">What the user sees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grid of heads per layer, with category-based bulk-select buttons.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running: the ablated generation, plus comparison metrics — KL divergence and per-token probability deltas vs. the original.</w:t>
      </w:r>
    </w:p>
    <w:p>
      <w:pPr>
        <w:pStyle w:val="Heading2"/>
        <w:spacing w:after="120" w:before="240"/>
      </w:pPr>
      <w:r>
        <w:t xml:space="preserve">How the hook actually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choice: I zero the ablated head’s output slice BEFORE the output projection mixes heads — the cleanest point where head dims are still separable.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Implementation: a PyTorch </w:t>
      </w:r>
      <w:r>
        <w:rPr>
          <w:rFonts w:ascii="Consolas" w:cs="Consolas" w:eastAsia="Consolas" w:hAnsi="Consolas"/>
          <w:sz w:val="20"/>
          <w:szCs w:val="20"/>
        </w:rPr>
        <w:t xml:space="preserve">register_forward_pre_hook</w:t>
      </w:r>
      <w:r>
        <w:t xml:space="preserve"> on the attention module’s output projection. The pre-hook receives the input tensor, clones it, slices out the chosen head’s </w:t>
      </w:r>
      <w:r>
        <w:rPr>
          <w:rFonts w:ascii="Consolas" w:cs="Consolas" w:eastAsia="Consolas" w:hAnsi="Consolas"/>
          <w:sz w:val="20"/>
          <w:szCs w:val="20"/>
        </w:rPr>
        <w:t xml:space="preserve">head_dim</w:t>
      </w:r>
      <w:r>
        <w:t xml:space="preserve"> range, zeros it, and returns the modified tensor.</w:t>
      </w:r>
    </w:p>
    <w:p>
      <w:pPr>
        <w:pBdr>
          <w:left w:val="single" w:color="CED4DA" w:sz="12" w:space="8"/>
        </w:pBdr>
        <w:shd w:fill="F1F3F5" w:val="clear"/>
        <w:spacing w:after="16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pre_hook(module, args):
    x = args[0].clone()
    head_dim = x.shape[-1] // num_heads
    for head_idx in head_indices:
        start = head_idx * head_dim
        end = (head_idx + 1) * head_dim
        x[:, :, start:end] = 0.0
    return (x,)</w:t>
      </w:r>
    </w:p>
    <w:p>
      <w:pPr>
        <w:pStyle w:val="Heading2"/>
        <w:spacing w:after="120" w:before="240"/>
      </w:pPr>
      <w:r>
        <w:t xml:space="preserve">Pyvene vs. plain PyTorch hooks — why I ended up on PyTorch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originally scaffolded ablation through pyvene’s IntervenableModel — the interface for declaring interventions is clean.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practice, pyvene remapped module names internally, which broke hook registration after model switching in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Decision: use plain PyTorch hooks on the original model. Same mechanical result (zeroing a slice pre-projection), works reliably across every model family. Comment in </w:t>
      </w:r>
      <w:r>
        <w:rPr>
          <w:rFonts w:ascii="Consolas" w:cs="Consolas" w:eastAsia="Consolas" w:hAnsi="Consolas"/>
          <w:sz w:val="20"/>
          <w:szCs w:val="20"/>
        </w:rPr>
        <w:t xml:space="preserve">model_patterns.py</w:t>
      </w:r>
      <w:r>
        <w:t xml:space="preserve"> records the reasoning.</w:t>
      </w:r>
    </w:p>
    <w:p>
      <w:pPr>
        <w:pStyle w:val="Heading2"/>
        <w:spacing w:after="120" w:before="240"/>
      </w:pPr>
      <w:r>
        <w:t xml:space="preserve">How the data is cached in the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session-activation-store</w:t>
      </w:r>
      <w:r>
        <w:t xml:space="preserve"> holds the original (non-ablated) forward-pass capture.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session-ablation-results-store</w:t>
      </w:r>
      <w:r>
        <w:t xml:space="preserve"> holds the ablated capture — a separate store, on purpose, so the pipeline visuals never silently switch to ablated data. That bug existed; fixing it was a dedicated session (see </w:t>
      </w:r>
      <w:r>
        <w:rPr>
          <w:rFonts w:ascii="Consolas" w:cs="Consolas" w:eastAsia="Consolas" w:hAnsi="Consolas"/>
          <w:sz w:val="20"/>
          <w:szCs w:val="20"/>
        </w:rPr>
        <w:t xml:space="preserve">.context/data/sessions.md</w:t>
      </w:r>
      <w:r>
        <w:t xml:space="preserve">, 2026-03-31).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 divergence and per-token probability deltas are computed in utils/ablation_metrics.py from both stores — full KL(P_orig ‖ P_ablated) across the distribution, plus the signed change for each actual generated token.</w:t>
      </w:r>
    </w:p>
    <w:p>
      <w:pPr>
        <w:pStyle w:val="Heading2"/>
        <w:spacing w:after="120" w:before="240"/>
      </w:pPr>
      <w:r>
        <w:t xml:space="preserve">Use cases I show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Repetition prompt + induction heads ablated → the model loses its ability to complete the repeated pattern. This is the clean induction-head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Coreference prompt ("the nurse said that she") + previous-token heads ablated → you see pronoun resolution destabilize.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ablate a random unrelated head → minimal KL change, teaches that not every head matters for a given input.</w:t>
      </w:r>
    </w:p>
    <w:p>
      <w:pPr>
        <w:pStyle w:val="Heading2"/>
        <w:spacing w:after="120" w:before="240"/>
      </w:pPr>
      <w:r>
        <w:t xml:space="preserve">Limitations I’m upfront about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Zeroing isn’t the only ablation technique — mean-ablation (replace with batch mean) is sometimes considered more faithful; I didn’t implement it for scope.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only ablate attention heads. MLP neuron ablation would require wiring a second mechanism.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Effects on beam-searched outputs are interpretable, but causal attribution (does this head cause this behavior) requires controlled interventions I haven’t run here.</w:t>
      </w:r>
    </w:p>
    <w:p>
      <w:pPr>
        <w:pStyle w:val="Heading1"/>
        <w:spacing w:after="180" w:before="360"/>
      </w:pPr>
      <w:r>
        <w:t xml:space="preserve">8. Token Attribution Experiment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Switch to the "Word Influence" tab. Run attribution on the chef prompt.</w:t>
      </w:r>
    </w:p>
    <w:p>
      <w:pPr>
        <w:pStyle w:val="Heading2"/>
        <w:spacing w:after="120" w:before="240"/>
      </w:pPr>
      <w:r>
        <w:t xml:space="preserve">What’s on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input token is shaded by contribution to the predicted next token. Red = pushed the prediction up, blue = pulled it down. Intensity = magnitude.</w:t>
      </w:r>
    </w:p>
    <w:p>
      <w:pPr>
        <w:pStyle w:val="Heading2"/>
        <w:spacing w:after="120" w:before="240"/>
      </w:pPr>
      <w:r>
        <w:t xml:space="preserve">How it’s computed (Integrated Gradients)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interpolate between a baseline embedding (pad/zero/mask) and the real input embedding in ~50 steps.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each step, I backprop the target logit through to the embeddings and collect </w:t>
      </w:r>
      <w:r>
        <w:rPr>
          <w:rFonts w:ascii="Consolas" w:cs="Consolas" w:eastAsia="Consolas" w:hAnsi="Consolas"/>
          <w:sz w:val="20"/>
          <w:szCs w:val="20"/>
        </w:rPr>
        <w:t xml:space="preserve">∂target_logit / ∂input_embed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the gradients along the path, multiply by </w:t>
      </w:r>
      <w:r>
        <w:rPr>
          <w:rFonts w:ascii="Consolas" w:cs="Consolas" w:eastAsia="Consolas" w:hAnsi="Consolas"/>
          <w:sz w:val="20"/>
          <w:szCs w:val="20"/>
        </w:rPr>
        <w:t xml:space="preserve">(input_embed − baseline)</w:t>
      </w:r>
      <w:r>
        <w:t xml:space="preserve">, then sum over the hidden dim → one scalar per token. That’s the Integrated Gradients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satisfies the “completeness” axiom — the per-token scores sum to the difference between f(input) and f(baseline) on the target logit.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Citation: Sundararajan, Taly &amp; Yan, 2017 — “Axiomatic Attribution for Deep Networks.”</w:t>
      </w:r>
    </w:p>
    <w:p>
      <w:pPr>
        <w:pStyle w:val="Heading2"/>
        <w:spacing w:after="120" w:before="240"/>
      </w:pPr>
      <w:r>
        <w:t xml:space="preserve">Use cases I show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Coreference prompt → "she" often gets high attribution from the gendered noun earlier in the sentence. Useful for surfacing bias discussions.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Ambiguous-word prompt (the "bat" prompt) → surrounding context tokens disambiguate the word's sense.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Pair it with ablation: attribution says “which tokens matter,” ablation says “which heads route those tokens into the final prediction.” Together they give a more complete picture than either alone.</w:t>
      </w:r>
    </w:p>
    <w:p>
      <w:pPr>
        <w:pStyle w:val="Heading1"/>
        <w:spacing w:after="180" w:before="360"/>
      </w:pPr>
      <w:r>
        <w:t xml:space="preserve">9. In-App Chatbot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Click the floating robot icon. Open the chat panel.</w:t>
      </w:r>
    </w:p>
    <w:p>
      <w:pPr>
        <w:pStyle w:val="Heading2"/>
        <w:spacing w:after="120" w:before="240"/>
      </w:pPr>
      <w:r>
        <w:t xml:space="preserve">What it 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floating, in-app chat surface for open-ended questions about the dashboard, the experiments, and transformer concepts.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Requests pass through an OpenRouter client; tokens stream back into the chat window so the user sees the answer form in real time.</w:t>
      </w:r>
    </w:p>
    <w:p>
      <w:pPr>
        <w:pStyle w:val="Heading2"/>
        <w:spacing w:after="120" w:before="240"/>
      </w:pPr>
      <w:r>
        <w:t xml:space="preserve">Example prompts to demo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“What does the ablation panel do?”</w:t>
      </w:r>
      <w:r>
        <w:t xml:space="preserve"> — triggers the panel-guide RAG chunks; answers with dashboard-specific content, not generic ML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“What’s the difference between induction and duplicate-token heads?”</w:t>
      </w:r>
      <w:r>
        <w:t xml:space="preserve"> — hits the head-categories doc; shows the chatbot grounded in the specific taxonomy I’m using.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“Why is my prompt not triggering the repetition detector?”</w:t>
      </w:r>
      <w:r>
        <w:t xml:space="preserve"> — troubleshooting flavor; pulls from the troubleshooting_and_faq + head-categories docs.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“Explain the logit lens in one paragraph.”</w:t>
      </w:r>
      <w:r>
        <w:t xml:space="preserve"> — conceptual question; shows the RAG corpus covers concepts, not just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“Suggest a starting experiment.”</w:t>
      </w:r>
      <w:r>
        <w:t xml:space="preserve"> — hits recommended_starting_points.md; shows the guided-experiment scaffolding.</w:t>
      </w:r>
    </w:p>
    <w:p>
      <w:pPr>
        <w:pStyle w:val="Heading2"/>
        <w:spacing w:after="120" w:before="240"/>
      </w:pPr>
      <w:r>
        <w:t xml:space="preserve">Why grounded vs. general-purpose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Without retrieval a generic chatbot drifts toward generic ML answers. Grounding keeps responses specific to LLMVis — what buttons do, what each panel shows, how to interpret a specific experiment.</w:t>
      </w:r>
    </w:p>
    <w:p>
      <w:pPr>
        <w:pStyle w:val="Heading1"/>
        <w:spacing w:after="180" w:before="360"/>
      </w:pPr>
      <w:r>
        <w:t xml:space="preserve">10. RAG Breakdown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Stay on the chatbot. Mention the corpus while a streamed answer is on screen.</w:t>
      </w:r>
    </w:p>
    <w:p>
      <w:pPr>
        <w:pStyle w:val="Heading2"/>
        <w:spacing w:after="120" w:before="240"/>
      </w:pPr>
      <w:r>
        <w:t xml:space="preserve">The retrieval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Corpus: ~30 curated markdown docs in </w:t>
      </w:r>
      <w:r>
        <w:rPr>
          <w:rFonts w:ascii="Consolas" w:cs="Consolas" w:eastAsia="Consolas" w:hAnsi="Consolas"/>
          <w:sz w:val="20"/>
          <w:szCs w:val="20"/>
        </w:rPr>
        <w:t xml:space="preserve">rag_docs/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doc is chunked (~500-token chunks with 50-token overlap), embedded via OpenRouter embeddings, cached to 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is content-hashed — edit a doc, only the changed chunks re-embed on next startup.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query time: embed the user’s question, cosine-similarity rank against all chunks, take top-k (default 3), inject them into the system prompt before generation.</w:t>
      </w:r>
    </w:p>
    <w:p>
      <w:pPr>
        <w:pStyle w:val="Heading2"/>
        <w:spacing w:after="120" w:before="240"/>
      </w:pPr>
      <w:r>
        <w:t xml:space="preserve">Corpus coverage — five topic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Transformer concepts</w:t>
      </w:r>
      <w:r>
        <w:t xml:space="preserve"> — attention, embeddings, MLPs, tokenization, output &amp; prediction, mechanistic-interpretability intro.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overviews</w:t>
      </w:r>
      <w:r>
        <w:t xml:space="preserve"> — one doc per supported family (GPT-2, GPT-Neo, OPT, Pythia, Qwen) with what differs architecturally.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Panel guides</w:t>
      </w:r>
      <w:r>
        <w:t xml:space="preserve"> — dashboard overview, ablation panel guide, attribution panel guide, model selector guide, troubleshooting &amp; FAQ.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Guided experiments</w:t>
      </w:r>
      <w:r>
        <w:t xml:space="preserve"> — first analysis, first ablation, comparing heads, exploring attention, token attribution, beam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Interpretation</w:t>
      </w:r>
      <w:r>
        <w:t xml:space="preserve"> — reading attention maps, interpreting ablation results, interpreting attribution scores, head-categories explained.</w:t>
      </w:r>
    </w:p>
    <w:p>
      <w:pPr>
        <w:pStyle w:val="Heading2"/>
        <w:spacing w:after="120" w:before="240"/>
      </w:pPr>
      <w:r>
        <w:t xml:space="preserve">What this choice buys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chatbot stays specific to the tool rather than drifting into textbook answers.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self-serve for concept questions without needing me to re-teach every term.</w:t>
      </w:r>
    </w:p>
    <w:p>
      <w:pPr>
        <w:pStyle w:val="Heading1"/>
        <w:spacing w:after="180" w:before="360"/>
      </w:pPr>
      <w:r>
        <w:t xml:space="preserve">11. Limitations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Brief, honest. Don’t linger.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Single-GPU memory</w:t>
      </w:r>
      <w:r>
        <w:t xml:space="preserve"> bounds both the model size and the maximum prompt length. Very long inputs fall out of scope before the forward pass even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family &amp; choice</w:t>
      </w:r>
      <w:r>
        <w:t xml:space="preserve"> — the pipeline assumes the decoder-only families I’ve hand-verified. Extending to new families is real engineering, not a dropdown addition.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Architectural evolution</w:t>
      </w:r>
      <w:r>
        <w:t xml:space="preserve"> — newer architectures (MoE, SSM hybrids, multi-modal stacks) may not fit the 5-stage story. Model evolution during the project literally forced this framing.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Ablation method is zeroing only</w:t>
      </w:r>
      <w:r>
        <w:t xml:space="preserve"> — no mean-ablation, no activation patching, no MLP-neuron ablation.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Positioning</w:t>
      </w:r>
      <w:r>
        <w:t xml:space="preserve"> — these constraints aren’t accidents to fix later. They reinforce LLMVis as an intro educational tool, not a universal interpretability platform.</w:t>
      </w:r>
    </w:p>
    <w:p>
      <w:pPr>
        <w:pStyle w:val="Heading1"/>
        <w:spacing w:after="180" w:before="360"/>
      </w:pPr>
      <w:r>
        <w:t xml:space="preserve">12. Future Work (Before Deployment)</w:t>
      </w:r>
    </w:p>
    <w:p>
      <w:pPr>
        <w:spacing w:after="80"/>
        <w:ind w:left="180"/>
      </w:pPr>
      <w:r>
        <w:rPr>
          <w:i/>
          <w:iCs/>
          <w:color w:val="6C757D"/>
        </w:rPr>
        <w:t xml:space="preserve">Transition to the close. Frame these as deliberate next steps, not missing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Prompt comparison</w:t>
      </w:r>
      <w:r>
        <w:t xml:space="preserve"> — a side-by-side panel that runs two prompts through the same model and diffs the internal activations layer-by-layer. Designed, not yet built — the internal representation already supports it (captures are already serializable), but the comparison UI is the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Activation patching</w:t>
      </w:r>
      <w:r>
        <w:t xml:space="preserve"> — going beyond ablation to causal intervention. Copy residual-stream activations from run A into run B at a specific layer and position, see what happens. This is the standard interpretability tool I don’t yet expose; not-yet-built.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Feedback capture</w:t>
      </w:r>
      <w:r>
        <w:t xml:space="preserve"> — add a small feedback form surface so pilot users can flag confusing explanations, broken visuals, or prompts they tried. Closing the loop is necessary before real classroom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Pilot deployment</w:t>
      </w:r>
      <w:r>
        <w:t xml:space="preserve"> — running the tool with an actual student group and measuring whether the explanations land, rather than inferring from the design alone.</w:t>
      </w:r>
    </w:p>
    <w:p>
      <w:pPr>
        <w:pStyle w:val="Heading1"/>
        <w:spacing w:after="180" w:before="360"/>
      </w:pPr>
      <w:r>
        <w:t xml:space="preserve">13. Close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Recap in one sentence: the committee has seen the five stages, two live experiments, grounded chatbot, RAG layer, and the limitations that shape the product positioning.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Explicit ask: feedback on the scope decisions — specifically, does keeping this an "intro educational tool" rather than a universal interpretability platform feel like the right framing for the thesis.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Transition to Q&amp;A.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Appendix A — Citations on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Vig, 2019 — “A Multiscale Visualization of Attention in the Transformer Model” (BertViz).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nostalgebraist, 2020 — “Interpreting GPT: The Logit Lens.”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Olsson et al., 2022 — “In-context Learning and Induction Heads” (Anthropic).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Nanda &amp; Olsson — TransformerLens Induction Heads notebook.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Sundararajan, Taly &amp; Yan, 2017 — “Axiomatic Attribution for Deep Networks.”</w:t>
      </w:r>
    </w:p>
    <w:p>
      <w:pPr>
        <w:pStyle w:val="Heading1"/>
        <w:spacing w:after="180" w:before="360"/>
      </w:pPr>
      <w:r>
        <w:t xml:space="preserve">Appendix B — If the live demo breaks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screenshots are on hand for: BertViz head view, ablation comparison chart, attribution heatmap, chatbot with streamed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narration: the notes above are self-contained; a committee member looking at a screenshot can still follow the flow.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A50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25A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LLMVis Assisted Demo Notes</dc:title>
  <dc:creator>Charlie Pearlman</dc:creator>
  <cp:lastModifiedBy>Un-named</cp:lastModifiedBy>
  <cp:revision>1</cp:revision>
  <dcterms:created xsi:type="dcterms:W3CDTF">2026-04-20T21:35:56.846Z</dcterms:created>
  <dcterms:modified xsi:type="dcterms:W3CDTF">2026-04-20T21:35:56.847Z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