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32" w:rsidRPr="00B61DD3" w:rsidRDefault="002D4732" w:rsidP="00E66EFE">
      <w:pPr>
        <w:spacing w:after="0" w:line="240" w:lineRule="atLeast"/>
        <w:rPr>
          <w:rFonts w:ascii="Calibri" w:hAnsi="Calibri" w:cs="Arial"/>
          <w:b/>
          <w:color w:val="595959" w:themeColor="text1" w:themeTint="A6"/>
          <w:sz w:val="22"/>
        </w:rPr>
      </w:pPr>
    </w:p>
    <w:p w:rsidR="00C63AD1" w:rsidRPr="00B61DD3" w:rsidRDefault="00C63AD1" w:rsidP="00E66EFE">
      <w:pPr>
        <w:spacing w:after="0" w:line="240" w:lineRule="atLeast"/>
        <w:rPr>
          <w:rFonts w:ascii="Calibri" w:hAnsi="Calibri" w:cs="Arial"/>
          <w:b/>
          <w:color w:val="595959" w:themeColor="text1" w:themeTint="A6"/>
          <w:sz w:val="22"/>
        </w:rPr>
      </w:pPr>
    </w:p>
    <w:p w:rsidR="002D4732" w:rsidRPr="00B61DD3" w:rsidRDefault="00B61DD3" w:rsidP="00473306">
      <w:pPr>
        <w:spacing w:after="0" w:line="240" w:lineRule="atLeast"/>
        <w:rPr>
          <w:rFonts w:ascii="Calibri" w:hAnsi="Calibri" w:cs="Arial"/>
          <w:b/>
          <w:color w:val="365F91" w:themeColor="accent1" w:themeShade="BF"/>
          <w:sz w:val="22"/>
        </w:rPr>
      </w:pPr>
      <w:r>
        <w:rPr>
          <w:rFonts w:ascii="Calibri" w:hAnsi="Calibri" w:cs="Arial" w:hint="eastAsia"/>
          <w:b/>
          <w:color w:val="365F91" w:themeColor="accent1" w:themeShade="BF"/>
          <w:sz w:val="22"/>
        </w:rPr>
        <w:t>ESG Strategies of European Asset Owners: From Theory to Practice</w:t>
      </w:r>
    </w:p>
    <w:p w:rsidR="00E532DB" w:rsidRPr="00B61DD3" w:rsidRDefault="00E532DB" w:rsidP="00E532DB">
      <w:pPr>
        <w:spacing w:after="0" w:line="240" w:lineRule="atLeast"/>
        <w:rPr>
          <w:rFonts w:ascii="Calibri" w:hAnsi="Calibri" w:cs="Arial"/>
          <w:color w:val="365F91" w:themeColor="accent1" w:themeShade="BF"/>
          <w:sz w:val="22"/>
        </w:rPr>
      </w:pPr>
      <w:r w:rsidRPr="00B61DD3">
        <w:rPr>
          <w:rFonts w:ascii="Calibri" w:hAnsi="Calibri" w:cs="Arial"/>
          <w:color w:val="365F91" w:themeColor="accent1" w:themeShade="BF"/>
          <w:sz w:val="22"/>
        </w:rPr>
        <w:t>발행처</w:t>
      </w:r>
      <w:r w:rsidRPr="00B61DD3">
        <w:rPr>
          <w:rFonts w:ascii="Calibri" w:hAnsi="Calibri" w:cs="Arial"/>
          <w:color w:val="365F91" w:themeColor="accent1" w:themeShade="BF"/>
          <w:sz w:val="22"/>
        </w:rPr>
        <w:t>:</w:t>
      </w:r>
      <w:r w:rsidR="00473306" w:rsidRPr="00B61DD3">
        <w:rPr>
          <w:rFonts w:ascii="Calibri" w:hAnsi="Calibri" w:cs="Arial"/>
          <w:color w:val="365F91" w:themeColor="accent1" w:themeShade="BF"/>
          <w:sz w:val="22"/>
        </w:rPr>
        <w:t xml:space="preserve"> </w:t>
      </w:r>
      <w:r w:rsidR="00B61DD3">
        <w:rPr>
          <w:rFonts w:ascii="Calibri" w:hAnsi="Calibri" w:cs="Arial" w:hint="eastAsia"/>
          <w:color w:val="365F91" w:themeColor="accent1" w:themeShade="BF"/>
          <w:sz w:val="22"/>
        </w:rPr>
        <w:t>Novethic</w:t>
      </w:r>
    </w:p>
    <w:p w:rsidR="002D4732" w:rsidRPr="00B61DD3" w:rsidRDefault="002D4732" w:rsidP="002D4732">
      <w:pPr>
        <w:pStyle w:val="Default"/>
        <w:rPr>
          <w:rFonts w:ascii="Calibri" w:hAnsi="Calibri" w:cs="Arial"/>
          <w:color w:val="595959" w:themeColor="text1" w:themeTint="A6"/>
          <w:sz w:val="22"/>
          <w:szCs w:val="22"/>
        </w:rPr>
      </w:pPr>
    </w:p>
    <w:p w:rsidR="00AA30F1" w:rsidRPr="00527E35" w:rsidRDefault="00527E35" w:rsidP="002D4732">
      <w:pPr>
        <w:pStyle w:val="Default"/>
        <w:rPr>
          <w:rFonts w:ascii="Calibri" w:hAnsi="Calibri" w:cs="Arial"/>
          <w:b/>
          <w:color w:val="365F91" w:themeColor="accent1" w:themeShade="BF"/>
          <w:sz w:val="28"/>
          <w:szCs w:val="22"/>
        </w:rPr>
      </w:pPr>
      <w:r w:rsidRPr="00527E35">
        <w:rPr>
          <w:rFonts w:ascii="Calibri" w:hAnsi="Calibri" w:cs="Arial" w:hint="eastAsia"/>
          <w:b/>
          <w:color w:val="365F91" w:themeColor="accent1" w:themeShade="BF"/>
          <w:sz w:val="28"/>
          <w:szCs w:val="22"/>
        </w:rPr>
        <w:t>Contents</w:t>
      </w:r>
    </w:p>
    <w:p w:rsidR="008B507D" w:rsidRPr="00B61DD3" w:rsidRDefault="008B507D" w:rsidP="002D4732">
      <w:pPr>
        <w:pStyle w:val="Default"/>
        <w:rPr>
          <w:rFonts w:ascii="Calibri" w:hAnsi="Calibri" w:cs="Arial"/>
          <w:color w:val="595959" w:themeColor="text1" w:themeTint="A6"/>
          <w:sz w:val="22"/>
          <w:szCs w:val="22"/>
        </w:rPr>
      </w:pP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/>
          <w:b/>
          <w:color w:val="365F91" w:themeColor="accent1" w:themeShade="BF"/>
          <w:kern w:val="0"/>
          <w:sz w:val="24"/>
        </w:rPr>
      </w:pPr>
      <w:r w:rsidRPr="00B61DD3">
        <w:rPr>
          <w:rFonts w:ascii="Calibri" w:eastAsia="HelveticaNeueLTStd-Bd" w:hAnsi="Calibri" w:cs="Arial"/>
          <w:b/>
          <w:color w:val="365F91" w:themeColor="accent1" w:themeShade="BF"/>
          <w:kern w:val="0"/>
          <w:sz w:val="24"/>
        </w:rPr>
        <w:t>About the survey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Methodology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Surveyed investors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Report structure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 w:hint="eastAsia"/>
          <w:b/>
          <w:color w:val="365F91" w:themeColor="accent1" w:themeShade="BF"/>
          <w:kern w:val="0"/>
          <w:sz w:val="24"/>
        </w:rPr>
      </w:pPr>
      <w:r w:rsidRPr="00B61DD3">
        <w:rPr>
          <w:rFonts w:ascii="Calibri" w:eastAsia="HelveticaNeueLTStd-Bd" w:hAnsi="Calibri" w:cs="Arial"/>
          <w:b/>
          <w:color w:val="365F91" w:themeColor="accent1" w:themeShade="BF"/>
          <w:kern w:val="0"/>
          <w:sz w:val="24"/>
        </w:rPr>
        <w:t xml:space="preserve">Key results </w:t>
      </w:r>
    </w:p>
    <w:p w:rsidR="00B61DD3" w:rsidRPr="00B61DD3" w:rsidRDefault="00B61DD3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4"/>
        </w:rPr>
      </w:pP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/>
          <w:b/>
          <w:color w:val="595959" w:themeColor="text1" w:themeTint="A6"/>
          <w:kern w:val="0"/>
          <w:sz w:val="24"/>
        </w:rPr>
      </w:pPr>
      <w:r w:rsidRPr="00B61DD3">
        <w:rPr>
          <w:rFonts w:ascii="Calibri" w:eastAsia="HelveticaNeueLTStd-Bd" w:hAnsi="Calibri" w:cs="Arial"/>
          <w:b/>
          <w:color w:val="595959" w:themeColor="text1" w:themeTint="A6"/>
          <w:kern w:val="0"/>
          <w:sz w:val="24"/>
        </w:rPr>
        <w:t>European analysis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Investors’ views on RI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Responsible investment policies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Organization and means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Investment strategies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Implementation of RI policies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State of progress by asset class </w:t>
      </w:r>
    </w:p>
    <w:p w:rsidR="00B61DD3" w:rsidRDefault="00B61DD3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 w:hint="eastAsia"/>
          <w:color w:val="595959" w:themeColor="text1" w:themeTint="A6"/>
          <w:kern w:val="0"/>
          <w:sz w:val="22"/>
        </w:rPr>
      </w:pP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/>
          <w:b/>
          <w:color w:val="595959" w:themeColor="text1" w:themeTint="A6"/>
          <w:kern w:val="0"/>
          <w:sz w:val="24"/>
        </w:rPr>
      </w:pPr>
      <w:r w:rsidRPr="00B61DD3">
        <w:rPr>
          <w:rFonts w:ascii="Calibri" w:eastAsia="HelveticaNeueLTStd-Bd" w:hAnsi="Calibri" w:cs="Arial"/>
          <w:b/>
          <w:color w:val="595959" w:themeColor="text1" w:themeTint="A6"/>
          <w:kern w:val="0"/>
          <w:sz w:val="24"/>
        </w:rPr>
        <w:t>Country focus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France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Netherlands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Spain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United Kingdom  </w:t>
      </w:r>
    </w:p>
    <w:p w:rsidR="00B61DD3" w:rsidRDefault="00B61DD3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 w:hint="eastAsia"/>
          <w:color w:val="595959" w:themeColor="text1" w:themeTint="A6"/>
          <w:kern w:val="0"/>
          <w:sz w:val="22"/>
        </w:rPr>
      </w:pP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Bd" w:hAnsi="Calibri" w:cs="Arial"/>
          <w:b/>
          <w:color w:val="595959" w:themeColor="text1" w:themeTint="A6"/>
          <w:kern w:val="0"/>
          <w:sz w:val="24"/>
        </w:rPr>
      </w:pPr>
      <w:r w:rsidRPr="00B61DD3">
        <w:rPr>
          <w:rFonts w:ascii="Calibri" w:eastAsia="HelveticaNeueLTStd-Bd" w:hAnsi="Calibri" w:cs="Arial"/>
          <w:b/>
          <w:color w:val="595959" w:themeColor="text1" w:themeTint="A6"/>
          <w:kern w:val="0"/>
          <w:sz w:val="24"/>
        </w:rPr>
        <w:t>Other country results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Austria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Belgium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Denmark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Germany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Nordic countries: Finland, Norway, Sweden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  <w:t xml:space="preserve">Coming soon: German-speaking Switzerland  </w:t>
      </w:r>
    </w:p>
    <w:p w:rsidR="00473306" w:rsidRPr="00B61DD3" w:rsidRDefault="00473306" w:rsidP="00473306">
      <w:pPr>
        <w:wordWrap/>
        <w:adjustRightInd w:val="0"/>
        <w:spacing w:after="0" w:line="240" w:lineRule="auto"/>
        <w:jc w:val="left"/>
        <w:rPr>
          <w:rFonts w:ascii="Calibri" w:eastAsia="HelveticaNeueLTStd-Lt" w:hAnsi="Calibri" w:cs="Arial"/>
          <w:color w:val="595959" w:themeColor="text1" w:themeTint="A6"/>
          <w:kern w:val="0"/>
          <w:sz w:val="22"/>
        </w:rPr>
      </w:pPr>
    </w:p>
    <w:p w:rsidR="00AA30F1" w:rsidRPr="00B61DD3" w:rsidRDefault="00473306" w:rsidP="00473306">
      <w:pPr>
        <w:wordWrap/>
        <w:adjustRightInd w:val="0"/>
        <w:snapToGrid w:val="0"/>
        <w:spacing w:after="0" w:line="240" w:lineRule="atLeast"/>
        <w:rPr>
          <w:rFonts w:ascii="Calibri" w:eastAsiaTheme="majorHAnsi" w:hAnsi="Calibri" w:cs="Arial"/>
          <w:b/>
          <w:color w:val="365F91" w:themeColor="accent1" w:themeShade="BF"/>
          <w:kern w:val="0"/>
          <w:sz w:val="24"/>
        </w:rPr>
      </w:pPr>
      <w:r w:rsidRPr="00B61DD3">
        <w:rPr>
          <w:rFonts w:ascii="Calibri" w:eastAsia="HelveticaNeueLTStd-Lt" w:hAnsi="Calibri" w:cs="Arial"/>
          <w:b/>
          <w:color w:val="365F91" w:themeColor="accent1" w:themeShade="BF"/>
          <w:kern w:val="0"/>
          <w:sz w:val="24"/>
        </w:rPr>
        <w:t xml:space="preserve">List of surveyed investors </w:t>
      </w:r>
    </w:p>
    <w:p w:rsidR="007550AF" w:rsidRPr="00B61DD3" w:rsidRDefault="007550AF" w:rsidP="007550AF">
      <w:pPr>
        <w:spacing w:after="0" w:line="240" w:lineRule="atLeast"/>
        <w:rPr>
          <w:rFonts w:ascii="Calibri" w:eastAsiaTheme="majorHAnsi" w:hAnsi="Calibri" w:cs="Arial"/>
          <w:color w:val="595959" w:themeColor="text1" w:themeTint="A6"/>
          <w:sz w:val="22"/>
        </w:rPr>
      </w:pPr>
    </w:p>
    <w:p w:rsidR="00AE52A5" w:rsidRPr="00B61DD3" w:rsidRDefault="00962CE3" w:rsidP="00E66EFE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&lt;</w:t>
      </w:r>
      <w:r w:rsidRPr="00B61DD3">
        <w:rPr>
          <w:rFonts w:ascii="Calibri" w:hAnsi="Calibri" w:cs="Arial"/>
          <w:color w:val="595959" w:themeColor="text1" w:themeTint="A6"/>
          <w:sz w:val="22"/>
        </w:rPr>
        <w:t>보고서는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첨부된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파일을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다운로드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받으시면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됩니다</w:t>
      </w:r>
      <w:r w:rsidRPr="00B61DD3">
        <w:rPr>
          <w:rFonts w:ascii="Calibri" w:hAnsi="Calibri" w:cs="Arial"/>
          <w:color w:val="595959" w:themeColor="text1" w:themeTint="A6"/>
          <w:sz w:val="22"/>
        </w:rPr>
        <w:t>.&gt;</w:t>
      </w:r>
    </w:p>
    <w:p w:rsidR="000B2509" w:rsidRPr="00B61DD3" w:rsidRDefault="000B2509" w:rsidP="000B2509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http://www.kosif.org/board/bbs/board.php?bo_table=interior&amp;wr_id=438</w:t>
      </w:r>
    </w:p>
    <w:p w:rsidR="00EC58B7" w:rsidRPr="00B61DD3" w:rsidRDefault="00EC58B7" w:rsidP="00E66EFE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</w:p>
    <w:p w:rsidR="00ED649E" w:rsidRPr="00B61DD3" w:rsidRDefault="00ED649E" w:rsidP="00E66EFE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</w:p>
    <w:p w:rsidR="00ED649E" w:rsidRPr="00B61DD3" w:rsidRDefault="00ED649E" w:rsidP="00ED649E">
      <w:pPr>
        <w:widowControl/>
        <w:wordWrap/>
        <w:autoSpaceDE/>
        <w:autoSpaceDN/>
        <w:rPr>
          <w:rFonts w:ascii="Calibri" w:hAnsi="Calibri" w:cs="Arial" w:hint="eastAsia"/>
          <w:color w:val="595959" w:themeColor="text1" w:themeTint="A6"/>
          <w:sz w:val="22"/>
        </w:rPr>
      </w:pPr>
    </w:p>
    <w:p w:rsidR="008B507D" w:rsidRPr="00B61DD3" w:rsidRDefault="00B61DD3" w:rsidP="00C40C7B">
      <w:pPr>
        <w:spacing w:after="0" w:line="240" w:lineRule="atLeast"/>
        <w:rPr>
          <w:rFonts w:ascii="Calibri" w:hAnsi="Calibri" w:cs="Arial"/>
          <w:b/>
          <w:color w:val="365F91" w:themeColor="accent1" w:themeShade="BF"/>
          <w:sz w:val="22"/>
        </w:rPr>
      </w:pPr>
      <w:r w:rsidRPr="00B61DD3">
        <w:rPr>
          <w:rFonts w:ascii="Calibri" w:hAnsi="Calibri" w:cs="Arial"/>
          <w:b/>
          <w:color w:val="365F91" w:themeColor="accent1" w:themeShade="BF"/>
          <w:sz w:val="22"/>
        </w:rPr>
        <w:t>The Future of Finance</w:t>
      </w:r>
    </w:p>
    <w:p w:rsidR="008B507D" w:rsidRPr="00B61DD3" w:rsidRDefault="008B507D" w:rsidP="008B507D">
      <w:pPr>
        <w:spacing w:after="0" w:line="240" w:lineRule="atLeast"/>
        <w:rPr>
          <w:rFonts w:ascii="Calibri" w:hAnsi="Calibri" w:cs="Arial"/>
          <w:color w:val="365F91" w:themeColor="accent1" w:themeShade="BF"/>
          <w:sz w:val="22"/>
        </w:rPr>
      </w:pPr>
      <w:r w:rsidRPr="00B61DD3">
        <w:rPr>
          <w:rFonts w:ascii="Calibri" w:hAnsi="Calibri" w:cs="Arial"/>
          <w:color w:val="365F91" w:themeColor="accent1" w:themeShade="BF"/>
          <w:sz w:val="22"/>
        </w:rPr>
        <w:lastRenderedPageBreak/>
        <w:t>발행처</w:t>
      </w:r>
      <w:r w:rsidRPr="00B61DD3">
        <w:rPr>
          <w:rFonts w:ascii="Calibri" w:hAnsi="Calibri" w:cs="Arial"/>
          <w:color w:val="365F91" w:themeColor="accent1" w:themeShade="BF"/>
          <w:sz w:val="22"/>
        </w:rPr>
        <w:t>:</w:t>
      </w:r>
      <w:r w:rsidR="00473306" w:rsidRPr="00B61DD3">
        <w:rPr>
          <w:rFonts w:ascii="Calibri" w:hAnsi="Calibri" w:cs="Arial"/>
          <w:color w:val="365F91" w:themeColor="accent1" w:themeShade="BF"/>
          <w:sz w:val="22"/>
        </w:rPr>
        <w:t xml:space="preserve"> </w:t>
      </w:r>
      <w:r w:rsidR="00B61DD3" w:rsidRPr="00B61DD3">
        <w:rPr>
          <w:rFonts w:ascii="Calibri" w:hAnsi="Calibri" w:cs="Arial"/>
          <w:color w:val="365F91" w:themeColor="accent1" w:themeShade="BF"/>
          <w:sz w:val="22"/>
        </w:rPr>
        <w:t>Globalscan, Center for Responsible Business</w:t>
      </w:r>
      <w:r w:rsidR="00473306" w:rsidRPr="00B61DD3">
        <w:rPr>
          <w:rFonts w:ascii="Calibri" w:hAnsi="Calibri" w:cs="Arial"/>
          <w:color w:val="365F91" w:themeColor="accent1" w:themeShade="BF"/>
          <w:sz w:val="22"/>
        </w:rPr>
        <w:t xml:space="preserve"> </w:t>
      </w:r>
    </w:p>
    <w:p w:rsidR="00ED649E" w:rsidRPr="00B61DD3" w:rsidRDefault="00ED649E" w:rsidP="00ED649E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Acknowledgements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Introduction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Executive Summary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Fundamentals: the role of finance in society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Who matters? The financial sector’s stakeholder constituencies </w:t>
      </w:r>
      <w:r w:rsidRPr="00B61DD3">
        <w:rPr>
          <w:rFonts w:ascii="Calibri" w:eastAsia="Function" w:hAnsi="Calibri" w:cs="Arial"/>
          <w:b/>
          <w:bCs/>
          <w:color w:val="595959" w:themeColor="text1" w:themeTint="A6"/>
          <w:kern w:val="0"/>
          <w:sz w:val="22"/>
        </w:rPr>
        <w:t xml:space="preserve">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The biggest challenge: regulating the financial sector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What’s to come? Predictions and scenarios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>What works? An inclusive innovation future</w:t>
      </w:r>
      <w:r w:rsidRPr="00B61DD3">
        <w:rPr>
          <w:rFonts w:ascii="Calibri" w:eastAsia="Function" w:hAnsi="Calibri" w:cs="Arial"/>
          <w:b/>
          <w:bCs/>
          <w:color w:val="595959" w:themeColor="text1" w:themeTint="A6"/>
          <w:kern w:val="0"/>
          <w:sz w:val="22"/>
        </w:rPr>
        <w:t xml:space="preserve"> </w:t>
      </w:r>
    </w:p>
    <w:p w:rsidR="00473306" w:rsidRPr="00B61DD3" w:rsidRDefault="00473306" w:rsidP="00473306">
      <w:pPr>
        <w:wordWrap/>
        <w:adjustRightInd w:val="0"/>
        <w:spacing w:after="220" w:line="241" w:lineRule="atLeast"/>
        <w:rPr>
          <w:rFonts w:ascii="Calibri" w:eastAsia="Function" w:hAnsi="Calibri" w:cs="Arial"/>
          <w:color w:val="595959" w:themeColor="text1" w:themeTint="A6"/>
          <w:kern w:val="0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 xml:space="preserve">Appendix I: Thought Leader interviewees </w:t>
      </w:r>
    </w:p>
    <w:p w:rsidR="00BA56FA" w:rsidRPr="00B61DD3" w:rsidRDefault="00473306" w:rsidP="00473306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eastAsia="Function" w:hAnsi="Calibri" w:cs="Arial"/>
          <w:color w:val="595959" w:themeColor="text1" w:themeTint="A6"/>
          <w:kern w:val="0"/>
          <w:sz w:val="22"/>
        </w:rPr>
        <w:t>Appendix II: About the Center for Responsible Business and GlobeScan</w:t>
      </w:r>
    </w:p>
    <w:p w:rsidR="00C40C7B" w:rsidRPr="00B61DD3" w:rsidRDefault="00C40C7B" w:rsidP="009B653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</w:p>
    <w:p w:rsidR="009B653C" w:rsidRPr="00B61DD3" w:rsidRDefault="009B653C" w:rsidP="009B653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&lt;</w:t>
      </w:r>
      <w:r w:rsidRPr="00B61DD3">
        <w:rPr>
          <w:rFonts w:ascii="Calibri" w:hAnsi="Calibri" w:cs="Arial"/>
          <w:color w:val="595959" w:themeColor="text1" w:themeTint="A6"/>
          <w:sz w:val="22"/>
        </w:rPr>
        <w:t>보고서는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첨부된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파일을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다운로드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받으시면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됩니다</w:t>
      </w:r>
      <w:r w:rsidRPr="00B61DD3">
        <w:rPr>
          <w:rFonts w:ascii="Calibri" w:hAnsi="Calibri" w:cs="Arial"/>
          <w:color w:val="595959" w:themeColor="text1" w:themeTint="A6"/>
          <w:sz w:val="22"/>
        </w:rPr>
        <w:t>.&gt;</w:t>
      </w:r>
    </w:p>
    <w:p w:rsidR="009B653C" w:rsidRPr="00B61DD3" w:rsidRDefault="000A2D02" w:rsidP="000B44E5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http://www.kosif.org/board/bbs/board.php?bo_tab</w:t>
      </w:r>
      <w:r w:rsidR="001E14AC" w:rsidRPr="00B61DD3">
        <w:rPr>
          <w:rFonts w:ascii="Calibri" w:hAnsi="Calibri" w:cs="Arial"/>
          <w:color w:val="595959" w:themeColor="text1" w:themeTint="A6"/>
          <w:sz w:val="22"/>
        </w:rPr>
        <w:t>le=interior&amp;wr_id=440</w:t>
      </w:r>
    </w:p>
    <w:p w:rsidR="001E14AC" w:rsidRPr="00B61DD3" w:rsidRDefault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br w:type="page"/>
      </w:r>
    </w:p>
    <w:p w:rsidR="001E14AC" w:rsidRPr="00B61DD3" w:rsidRDefault="001E14AC" w:rsidP="001E14AC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noProof/>
          <w:color w:val="595959" w:themeColor="text1" w:themeTint="A6"/>
          <w:sz w:val="22"/>
        </w:rPr>
        <w:lastRenderedPageBreak/>
        <w:drawing>
          <wp:inline distT="0" distB="0" distL="0" distR="0">
            <wp:extent cx="1690997" cy="2252286"/>
            <wp:effectExtent l="19050" t="0" r="4453" b="0"/>
            <wp:docPr id="7" name="그림 1" descr="\\공유컴퓨터\공유 문서\최애정\뉴스레터\2013\10월\보고서\linking-climate-engagement-to-financial-performanc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최애정\뉴스레터\2013\10월\보고서\linking-climate-engagement-to-financial-performance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64" cy="22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</w:p>
    <w:p w:rsidR="001E14AC" w:rsidRPr="00B61DD3" w:rsidRDefault="001E14AC" w:rsidP="001E14AC">
      <w:pPr>
        <w:spacing w:after="0" w:line="240" w:lineRule="atLeast"/>
        <w:rPr>
          <w:rFonts w:ascii="Calibri" w:hAnsi="Calibri" w:cs="Arial"/>
          <w:b/>
          <w:color w:val="595959" w:themeColor="text1" w:themeTint="A6"/>
          <w:sz w:val="22"/>
        </w:rPr>
      </w:pPr>
      <w:r w:rsidRPr="00B61DD3">
        <w:rPr>
          <w:rFonts w:ascii="Calibri" w:hAnsi="Calibri" w:cs="Arial"/>
          <w:b/>
          <w:color w:val="595959" w:themeColor="text1" w:themeTint="A6"/>
          <w:sz w:val="22"/>
        </w:rPr>
        <w:t>Linking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Climate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Engagement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to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Financial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Performance: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An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Investor’s</w:t>
      </w:r>
      <w:r w:rsidR="00473306" w:rsidRPr="00B61DD3">
        <w:rPr>
          <w:rFonts w:ascii="Calibri" w:hAnsi="Calibri" w:cs="Arial"/>
          <w:b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b/>
          <w:color w:val="595959" w:themeColor="text1" w:themeTint="A6"/>
          <w:sz w:val="22"/>
        </w:rPr>
        <w:t>Perspective</w:t>
      </w:r>
    </w:p>
    <w:p w:rsidR="001E14AC" w:rsidRPr="00B61DD3" w:rsidRDefault="001E14AC" w:rsidP="001E14AC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발행일</w:t>
      </w:r>
      <w:r w:rsidRPr="00B61DD3">
        <w:rPr>
          <w:rFonts w:ascii="Calibri" w:hAnsi="Calibri" w:cs="Arial"/>
          <w:color w:val="595959" w:themeColor="text1" w:themeTint="A6"/>
          <w:sz w:val="22"/>
        </w:rPr>
        <w:t>: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2013.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9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/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발행처</w:t>
      </w:r>
      <w:r w:rsidRPr="00B61DD3">
        <w:rPr>
          <w:rFonts w:ascii="Calibri" w:hAnsi="Calibri" w:cs="Arial"/>
          <w:color w:val="595959" w:themeColor="text1" w:themeTint="A6"/>
          <w:sz w:val="22"/>
        </w:rPr>
        <w:t>: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CDP,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</w:p>
    <w:p w:rsidR="001E14AC" w:rsidRPr="00B61DD3" w:rsidRDefault="001E14AC" w:rsidP="001E14AC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</w:p>
    <w:p w:rsidR="001E14AC" w:rsidRPr="00B61DD3" w:rsidRDefault="001E14AC" w:rsidP="001E14AC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Conclusion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</w:p>
    <w:p w:rsidR="001E14AC" w:rsidRPr="00B61DD3" w:rsidRDefault="001E14AC" w:rsidP="001E14AC">
      <w:pPr>
        <w:spacing w:after="0" w:line="240" w:lineRule="atLeast"/>
        <w:rPr>
          <w:rFonts w:ascii="Calibri" w:hAnsi="Calibri" w:cs="Arial"/>
          <w:color w:val="595959" w:themeColor="text1" w:themeTint="A6"/>
          <w:sz w:val="22"/>
        </w:rPr>
      </w:pPr>
    </w:p>
    <w:p w:rsidR="001E14AC" w:rsidRPr="00B61DD3" w:rsidRDefault="001E14AC" w:rsidP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Our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analysis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demonstrates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that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companies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that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manage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against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impact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climate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change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has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their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business,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measured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CDP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disclosure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score,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also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reflect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superior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financial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qualities: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higher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return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equity,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greater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cash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flow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stability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stronger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dividend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growth.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realization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points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toward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beliefs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CDP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SICM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share: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impact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of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climate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change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global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businesses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increases,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differentiation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between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corporate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leaders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laggards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will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reflected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financial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terms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well.</w:t>
      </w:r>
    </w:p>
    <w:p w:rsidR="001E14AC" w:rsidRPr="00B61DD3" w:rsidRDefault="001E14AC" w:rsidP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Climate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change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impacts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of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resource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scarcity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have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become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material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issues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affecting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corporations’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ability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to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compete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since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investors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seek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out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superior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risk-adjusted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returns.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therefore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our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responsibility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investors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to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discover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which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companies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are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leading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way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which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are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risk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of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falling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behind.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Through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process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market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beginning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to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evaluate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corporate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behavior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through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new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lens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will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ultimately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re-price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environmental,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social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governance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(ESG)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risk.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Investors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who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have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incorporated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these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principles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into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their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investment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processes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decisions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will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benefit.</w:t>
      </w:r>
    </w:p>
    <w:p w:rsidR="001E14AC" w:rsidRPr="00B61DD3" w:rsidRDefault="001E14AC" w:rsidP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With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that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mind,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maintain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that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integration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of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climate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change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financial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analysis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only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just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beginning.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world’s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leading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investment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managers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will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consider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impact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companies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have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on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environment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and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vice-versa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they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make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investment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decisions.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SICM,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well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others,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‘mainstream’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such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analyses,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the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financial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markets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will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re-price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risk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accordingly.</w:t>
      </w:r>
    </w:p>
    <w:p w:rsidR="001E14AC" w:rsidRPr="00B61DD3" w:rsidRDefault="001E14AC" w:rsidP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</w:p>
    <w:p w:rsidR="001E14AC" w:rsidRPr="00B61DD3" w:rsidRDefault="001E14AC" w:rsidP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&lt;</w:t>
      </w:r>
      <w:r w:rsidRPr="00B61DD3">
        <w:rPr>
          <w:rFonts w:ascii="Calibri" w:hAnsi="Calibri" w:cs="Arial"/>
          <w:color w:val="595959" w:themeColor="text1" w:themeTint="A6"/>
          <w:sz w:val="22"/>
        </w:rPr>
        <w:t>보고서는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첨부된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파일을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다운로드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받으시면</w:t>
      </w:r>
      <w:r w:rsidR="00473306" w:rsidRPr="00B61DD3">
        <w:rPr>
          <w:rFonts w:ascii="Calibri" w:hAnsi="Calibri" w:cs="Arial"/>
          <w:color w:val="595959" w:themeColor="text1" w:themeTint="A6"/>
          <w:sz w:val="22"/>
        </w:rPr>
        <w:t xml:space="preserve"> </w:t>
      </w:r>
      <w:r w:rsidRPr="00B61DD3">
        <w:rPr>
          <w:rFonts w:ascii="Calibri" w:hAnsi="Calibri" w:cs="Arial"/>
          <w:color w:val="595959" w:themeColor="text1" w:themeTint="A6"/>
          <w:sz w:val="22"/>
        </w:rPr>
        <w:t>됩니다</w:t>
      </w:r>
      <w:r w:rsidRPr="00B61DD3">
        <w:rPr>
          <w:rFonts w:ascii="Calibri" w:hAnsi="Calibri" w:cs="Arial"/>
          <w:color w:val="595959" w:themeColor="text1" w:themeTint="A6"/>
          <w:sz w:val="22"/>
        </w:rPr>
        <w:t>.&gt;</w:t>
      </w:r>
    </w:p>
    <w:p w:rsidR="001E14AC" w:rsidRPr="00B61DD3" w:rsidRDefault="001E14AC" w:rsidP="001E14AC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  <w:r w:rsidRPr="00B61DD3">
        <w:rPr>
          <w:rFonts w:ascii="Calibri" w:hAnsi="Calibri" w:cs="Arial"/>
          <w:color w:val="595959" w:themeColor="text1" w:themeTint="A6"/>
          <w:sz w:val="22"/>
        </w:rPr>
        <w:t>http://www.kosif.org/board/bbs/board.php?bo_table=interior&amp;wr_id=441</w:t>
      </w:r>
    </w:p>
    <w:p w:rsidR="000A2D02" w:rsidRPr="00B61DD3" w:rsidRDefault="000A2D02" w:rsidP="000B44E5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</w:p>
    <w:p w:rsidR="00F30F20" w:rsidRPr="00B61DD3" w:rsidRDefault="00F30F20" w:rsidP="000A2D02">
      <w:pPr>
        <w:widowControl/>
        <w:wordWrap/>
        <w:autoSpaceDE/>
        <w:autoSpaceDN/>
        <w:rPr>
          <w:rFonts w:ascii="Calibri" w:hAnsi="Calibri" w:cs="Arial"/>
          <w:color w:val="595959" w:themeColor="text1" w:themeTint="A6"/>
          <w:sz w:val="22"/>
        </w:rPr>
      </w:pPr>
    </w:p>
    <w:sectPr w:rsidR="00F30F20" w:rsidRPr="00B61DD3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E35" w:rsidRDefault="00527E35" w:rsidP="007C5CAE">
      <w:pPr>
        <w:spacing w:after="0" w:line="240" w:lineRule="auto"/>
      </w:pPr>
      <w:r>
        <w:separator/>
      </w:r>
    </w:p>
  </w:endnote>
  <w:endnote w:type="continuationSeparator" w:id="0">
    <w:p w:rsidR="00527E35" w:rsidRDefault="00527E35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Interstate Light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Function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NeueLTStd-B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elveticaNeueLTStd-Lt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E35" w:rsidRDefault="00527E35" w:rsidP="007C5CAE">
      <w:pPr>
        <w:spacing w:after="0" w:line="240" w:lineRule="auto"/>
      </w:pPr>
      <w:r>
        <w:separator/>
      </w:r>
    </w:p>
  </w:footnote>
  <w:footnote w:type="continuationSeparator" w:id="0">
    <w:p w:rsidR="00527E35" w:rsidRDefault="00527E35" w:rsidP="007C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DB3584"/>
    <w:multiLevelType w:val="hybridMultilevel"/>
    <w:tmpl w:val="79F6DF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A168C4"/>
    <w:multiLevelType w:val="hybridMultilevel"/>
    <w:tmpl w:val="B5609498"/>
    <w:lvl w:ilvl="0" w:tplc="2EEA39C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1659057B"/>
    <w:multiLevelType w:val="hybridMultilevel"/>
    <w:tmpl w:val="DB445F86"/>
    <w:lvl w:ilvl="0" w:tplc="43B2834E"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3">
    <w:nsid w:val="1B26311B"/>
    <w:multiLevelType w:val="hybridMultilevel"/>
    <w:tmpl w:val="D764B6D2"/>
    <w:lvl w:ilvl="0" w:tplc="C04482BC">
      <w:start w:val="2"/>
      <w:numFmt w:val="bullet"/>
      <w:lvlText w:val="-"/>
      <w:lvlJc w:val="left"/>
      <w:pPr>
        <w:ind w:left="4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4">
    <w:nsid w:val="3A5042A7"/>
    <w:multiLevelType w:val="hybridMultilevel"/>
    <w:tmpl w:val="BD8AF158"/>
    <w:lvl w:ilvl="0" w:tplc="7766F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7D83342"/>
    <w:multiLevelType w:val="hybridMultilevel"/>
    <w:tmpl w:val="7AC073B4"/>
    <w:lvl w:ilvl="0" w:tplc="CE1E02C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992D4B"/>
    <w:multiLevelType w:val="hybridMultilevel"/>
    <w:tmpl w:val="A6B043F8"/>
    <w:lvl w:ilvl="0" w:tplc="BA364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20C8"/>
    <w:rsid w:val="000576D0"/>
    <w:rsid w:val="000A2D02"/>
    <w:rsid w:val="000B2509"/>
    <w:rsid w:val="000B2A63"/>
    <w:rsid w:val="000B44E5"/>
    <w:rsid w:val="00127F25"/>
    <w:rsid w:val="00164075"/>
    <w:rsid w:val="001C4E2C"/>
    <w:rsid w:val="001E14AC"/>
    <w:rsid w:val="001F5ACE"/>
    <w:rsid w:val="002639E9"/>
    <w:rsid w:val="002A5BB1"/>
    <w:rsid w:val="002A76B4"/>
    <w:rsid w:val="002D4732"/>
    <w:rsid w:val="003F4E94"/>
    <w:rsid w:val="00403915"/>
    <w:rsid w:val="00473306"/>
    <w:rsid w:val="004F2F16"/>
    <w:rsid w:val="004F5CCD"/>
    <w:rsid w:val="00527E35"/>
    <w:rsid w:val="00617FC5"/>
    <w:rsid w:val="00656DCD"/>
    <w:rsid w:val="006D35FE"/>
    <w:rsid w:val="006E2481"/>
    <w:rsid w:val="0071277B"/>
    <w:rsid w:val="007550AF"/>
    <w:rsid w:val="007A091A"/>
    <w:rsid w:val="007B3EF6"/>
    <w:rsid w:val="007C5CAE"/>
    <w:rsid w:val="00842383"/>
    <w:rsid w:val="00876B2D"/>
    <w:rsid w:val="008B507D"/>
    <w:rsid w:val="0094075C"/>
    <w:rsid w:val="00962CE3"/>
    <w:rsid w:val="00966469"/>
    <w:rsid w:val="009743DD"/>
    <w:rsid w:val="00991A3A"/>
    <w:rsid w:val="009A1302"/>
    <w:rsid w:val="009B653C"/>
    <w:rsid w:val="00A01042"/>
    <w:rsid w:val="00A413AB"/>
    <w:rsid w:val="00AA30F1"/>
    <w:rsid w:val="00AB4D14"/>
    <w:rsid w:val="00AE52A5"/>
    <w:rsid w:val="00B20CE6"/>
    <w:rsid w:val="00B61DD3"/>
    <w:rsid w:val="00BA56FA"/>
    <w:rsid w:val="00C245F3"/>
    <w:rsid w:val="00C40C7B"/>
    <w:rsid w:val="00C63AD1"/>
    <w:rsid w:val="00C84B3D"/>
    <w:rsid w:val="00CC7778"/>
    <w:rsid w:val="00E532DB"/>
    <w:rsid w:val="00E66EFE"/>
    <w:rsid w:val="00EB5614"/>
    <w:rsid w:val="00EC58B7"/>
    <w:rsid w:val="00ED649E"/>
    <w:rsid w:val="00F30F20"/>
    <w:rsid w:val="00F7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D4732"/>
    <w:pPr>
      <w:ind w:leftChars="400" w:left="800"/>
    </w:pPr>
  </w:style>
  <w:style w:type="paragraph" w:customStyle="1" w:styleId="Default">
    <w:name w:val="Default"/>
    <w:rsid w:val="002D473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2D4732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2D4732"/>
    <w:rPr>
      <w:rFonts w:cs="Interstate Bold"/>
      <w:color w:val="221E1F"/>
      <w:sz w:val="20"/>
      <w:szCs w:val="20"/>
    </w:rPr>
  </w:style>
  <w:style w:type="character" w:customStyle="1" w:styleId="A70">
    <w:name w:val="A7"/>
    <w:uiPriority w:val="99"/>
    <w:rsid w:val="002D4732"/>
    <w:rPr>
      <w:rFonts w:ascii="Interstate Light" w:eastAsia="Interstate Light" w:cs="Interstate Light"/>
      <w:color w:val="221E1F"/>
      <w:sz w:val="16"/>
      <w:szCs w:val="16"/>
    </w:rPr>
  </w:style>
  <w:style w:type="character" w:styleId="a8">
    <w:name w:val="Strong"/>
    <w:basedOn w:val="a0"/>
    <w:uiPriority w:val="22"/>
    <w:qFormat/>
    <w:rsid w:val="00876B2D"/>
    <w:rPr>
      <w:b/>
      <w:bCs/>
    </w:rPr>
  </w:style>
  <w:style w:type="paragraph" w:styleId="a9">
    <w:name w:val="Normal (Web)"/>
    <w:basedOn w:val="a"/>
    <w:uiPriority w:val="99"/>
    <w:unhideWhenUsed/>
    <w:rsid w:val="00876B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473306"/>
    <w:pPr>
      <w:spacing w:line="241" w:lineRule="atLeast"/>
    </w:pPr>
    <w:rPr>
      <w:rFonts w:ascii="Function" w:eastAsia="Function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16</cp:revision>
  <dcterms:created xsi:type="dcterms:W3CDTF">2013-04-15T04:54:00Z</dcterms:created>
  <dcterms:modified xsi:type="dcterms:W3CDTF">2013-12-16T06:08:00Z</dcterms:modified>
</cp:coreProperties>
</file>