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32" w:rsidRDefault="00C63AD1" w:rsidP="00E66EFE">
      <w:pPr>
        <w:spacing w:after="0" w:line="240" w:lineRule="atLeast"/>
        <w:rPr>
          <w:rFonts w:asciiTheme="minorEastAsia" w:hAnsiTheme="minorEastAsia" w:cs="바탕" w:hint="eastAsia"/>
          <w:b/>
          <w:color w:val="365F91" w:themeColor="accent1" w:themeShade="BF"/>
          <w:szCs w:val="20"/>
        </w:rPr>
      </w:pPr>
      <w:r w:rsidRPr="00C63AD1">
        <w:rPr>
          <w:rFonts w:asciiTheme="minorEastAsia" w:hAnsiTheme="minorEastAsia" w:cs="바탕" w:hint="eastAsia"/>
          <w:b/>
          <w:color w:val="365F91" w:themeColor="accent1" w:themeShade="BF"/>
          <w:szCs w:val="20"/>
        </w:rPr>
        <w:drawing>
          <wp:anchor distT="0" distB="0" distL="114300" distR="114300" simplePos="0" relativeHeight="251662336" behindDoc="1" locked="0" layoutInCell="1" allowOverlap="1">
            <wp:simplePos x="0" y="0"/>
            <wp:positionH relativeFrom="column">
              <wp:posOffset>19050</wp:posOffset>
            </wp:positionH>
            <wp:positionV relativeFrom="paragraph">
              <wp:posOffset>222454</wp:posOffset>
            </wp:positionV>
            <wp:extent cx="1033373" cy="1457864"/>
            <wp:effectExtent l="19050" t="0" r="0" b="0"/>
            <wp:wrapTight wrapText="bothSides">
              <wp:wrapPolygon edited="0">
                <wp:start x="-399" y="0"/>
                <wp:lineTo x="-399" y="21440"/>
                <wp:lineTo x="21534" y="21440"/>
                <wp:lineTo x="21534" y="0"/>
                <wp:lineTo x="-399" y="0"/>
              </wp:wrapPolygon>
            </wp:wrapTight>
            <wp:docPr id="6" name="그림 0" descr="cdsbframeworkguidev1_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bframeworkguidev1_0_0-1.jpg"/>
                    <pic:cNvPicPr/>
                  </pic:nvPicPr>
                  <pic:blipFill>
                    <a:blip r:embed="rId7" cstate="print"/>
                    <a:stretch>
                      <a:fillRect/>
                    </a:stretch>
                  </pic:blipFill>
                  <pic:spPr>
                    <a:xfrm>
                      <a:off x="0" y="0"/>
                      <a:ext cx="1031875" cy="1458595"/>
                    </a:xfrm>
                    <a:prstGeom prst="rect">
                      <a:avLst/>
                    </a:prstGeom>
                  </pic:spPr>
                </pic:pic>
              </a:graphicData>
            </a:graphic>
          </wp:anchor>
        </w:drawing>
      </w:r>
    </w:p>
    <w:p w:rsidR="00C63AD1" w:rsidRDefault="00C63AD1" w:rsidP="00E66EFE">
      <w:pPr>
        <w:spacing w:after="0" w:line="240" w:lineRule="atLeast"/>
        <w:rPr>
          <w:rFonts w:asciiTheme="minorEastAsia" w:hAnsiTheme="minorEastAsia" w:cs="바탕" w:hint="eastAsia"/>
          <w:b/>
          <w:color w:val="365F91" w:themeColor="accent1" w:themeShade="BF"/>
          <w:szCs w:val="20"/>
        </w:rPr>
      </w:pPr>
    </w:p>
    <w:p w:rsidR="00E532DB" w:rsidRDefault="002D4732" w:rsidP="00E66EFE">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Communication climate change in mainstream reports</w:t>
      </w:r>
    </w:p>
    <w:p w:rsidR="002D4732" w:rsidRPr="002D4732" w:rsidRDefault="002D4732" w:rsidP="002D4732">
      <w:pPr>
        <w:spacing w:after="0" w:line="240" w:lineRule="atLeast"/>
        <w:ind w:left="450"/>
        <w:rPr>
          <w:rFonts w:asciiTheme="minorEastAsia" w:hAnsiTheme="minorEastAsia" w:cs="바탕"/>
          <w:b/>
          <w:color w:val="365F91" w:themeColor="accent1" w:themeShade="BF"/>
          <w:szCs w:val="20"/>
        </w:rPr>
      </w:pPr>
      <w:r w:rsidRPr="002D4732">
        <w:rPr>
          <w:rFonts w:asciiTheme="minorEastAsia" w:hAnsiTheme="minorEastAsia" w:cs="바탕" w:hint="eastAsia"/>
          <w:b/>
          <w:color w:val="365F91" w:themeColor="accent1" w:themeShade="BF"/>
          <w:szCs w:val="20"/>
        </w:rPr>
        <w:t xml:space="preserve"> </w:t>
      </w:r>
      <w:r>
        <w:rPr>
          <w:rFonts w:asciiTheme="minorEastAsia" w:hAnsiTheme="minorEastAsia" w:cs="바탕"/>
          <w:b/>
          <w:color w:val="365F91" w:themeColor="accent1" w:themeShade="BF"/>
          <w:szCs w:val="20"/>
        </w:rPr>
        <w:t xml:space="preserve">- </w:t>
      </w:r>
      <w:r>
        <w:rPr>
          <w:rFonts w:asciiTheme="minorEastAsia" w:hAnsiTheme="minorEastAsia" w:cs="바탕" w:hint="eastAsia"/>
          <w:b/>
          <w:color w:val="365F91" w:themeColor="accent1" w:themeShade="BF"/>
          <w:szCs w:val="20"/>
        </w:rPr>
        <w:t>A guide to using CDSB</w:t>
      </w:r>
      <w:r>
        <w:rPr>
          <w:rFonts w:asciiTheme="minorEastAsia" w:hAnsiTheme="minorEastAsia" w:cs="바탕"/>
          <w:b/>
          <w:color w:val="365F91" w:themeColor="accent1" w:themeShade="BF"/>
          <w:szCs w:val="20"/>
        </w:rPr>
        <w:t>’</w:t>
      </w:r>
      <w:r>
        <w:rPr>
          <w:rFonts w:asciiTheme="minorEastAsia" w:hAnsiTheme="minorEastAsia" w:cs="바탕" w:hint="eastAsia"/>
          <w:b/>
          <w:color w:val="365F91" w:themeColor="accent1" w:themeShade="BF"/>
          <w:szCs w:val="20"/>
        </w:rPr>
        <w:t xml:space="preserve">s </w:t>
      </w:r>
      <w:proofErr w:type="gramStart"/>
      <w:r>
        <w:rPr>
          <w:rFonts w:asciiTheme="minorEastAsia" w:hAnsiTheme="minorEastAsia" w:cs="바탕" w:hint="eastAsia"/>
          <w:b/>
          <w:color w:val="365F91" w:themeColor="accent1" w:themeShade="BF"/>
          <w:szCs w:val="20"/>
        </w:rPr>
        <w:t>Reporting</w:t>
      </w:r>
      <w:proofErr w:type="gramEnd"/>
      <w:r>
        <w:rPr>
          <w:rFonts w:asciiTheme="minorEastAsia" w:hAnsiTheme="minorEastAsia" w:cs="바탕" w:hint="eastAsia"/>
          <w:b/>
          <w:color w:val="365F91" w:themeColor="accent1" w:themeShade="BF"/>
          <w:szCs w:val="20"/>
        </w:rPr>
        <w:t xml:space="preserve"> Framework</w:t>
      </w:r>
    </w:p>
    <w:p w:rsidR="00E532DB" w:rsidRPr="00BF43BF" w:rsidRDefault="00E532DB" w:rsidP="00E532DB">
      <w:pPr>
        <w:spacing w:after="0" w:line="240" w:lineRule="atLeast"/>
        <w:rPr>
          <w:rFonts w:asciiTheme="minorEastAsia" w:hAnsiTheme="minorEastAsia" w:cs="바탕"/>
          <w:b/>
          <w:color w:val="365F91" w:themeColor="accent1" w:themeShade="BF"/>
          <w:szCs w:val="20"/>
        </w:rPr>
      </w:pPr>
    </w:p>
    <w:p w:rsidR="00E532DB" w:rsidRPr="00BF43BF" w:rsidRDefault="00E532DB" w:rsidP="00E532D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2A76B4">
        <w:rPr>
          <w:rFonts w:asciiTheme="minorEastAsia" w:hAnsiTheme="minorEastAsia" w:cs="바탕" w:hint="eastAsia"/>
          <w:color w:val="365F91" w:themeColor="accent1" w:themeShade="BF"/>
          <w:szCs w:val="20"/>
        </w:rPr>
        <w:t xml:space="preserve">: 2012. </w:t>
      </w:r>
      <w:r w:rsidR="002D4732">
        <w:rPr>
          <w:rFonts w:asciiTheme="minorEastAsia" w:hAnsiTheme="minorEastAsia" w:cs="바탕" w:hint="eastAsia"/>
          <w:color w:val="365F91" w:themeColor="accent1" w:themeShade="BF"/>
          <w:szCs w:val="20"/>
        </w:rPr>
        <w:t>3</w:t>
      </w:r>
      <w:r w:rsidRPr="00BF43BF">
        <w:rPr>
          <w:rFonts w:asciiTheme="minorEastAsia" w:hAnsiTheme="minorEastAsia" w:cs="바탕" w:hint="eastAsia"/>
          <w:color w:val="365F91" w:themeColor="accent1" w:themeShade="BF"/>
          <w:szCs w:val="20"/>
        </w:rPr>
        <w:t xml:space="preserve"> / 발행처: </w:t>
      </w:r>
      <w:r w:rsidR="002D4732">
        <w:rPr>
          <w:rFonts w:asciiTheme="minorEastAsia" w:hAnsiTheme="minorEastAsia" w:cs="바탕" w:hint="eastAsia"/>
          <w:color w:val="365F91" w:themeColor="accent1" w:themeShade="BF"/>
          <w:szCs w:val="20"/>
        </w:rPr>
        <w:t>CDSB</w:t>
      </w:r>
    </w:p>
    <w:p w:rsidR="002D4732" w:rsidRDefault="002D4732" w:rsidP="002D4732">
      <w:pPr>
        <w:pStyle w:val="Default"/>
        <w:rPr>
          <w:rFonts w:hint="eastAsia"/>
        </w:rPr>
      </w:pPr>
    </w:p>
    <w:p w:rsidR="00C63AD1" w:rsidRDefault="00C63AD1" w:rsidP="002D4732">
      <w:pPr>
        <w:pStyle w:val="Default"/>
      </w:pPr>
    </w:p>
    <w:p w:rsidR="002D4732" w:rsidRPr="0094075C" w:rsidRDefault="002D4732" w:rsidP="002D4732">
      <w:pPr>
        <w:pStyle w:val="Pa6"/>
        <w:spacing w:after="100"/>
        <w:rPr>
          <w:rFonts w:ascii="Arial" w:eastAsia="굴림" w:hAnsi="Arial" w:cs="Arial"/>
          <w:color w:val="221E1F"/>
          <w:sz w:val="20"/>
          <w:szCs w:val="20"/>
        </w:rPr>
      </w:pPr>
      <w:r w:rsidRPr="0094075C">
        <w:rPr>
          <w:rStyle w:val="A50"/>
          <w:rFonts w:ascii="Arial" w:eastAsia="굴림" w:hAnsi="Arial" w:cs="Arial"/>
          <w:bCs/>
        </w:rPr>
        <w:t xml:space="preserve">This guidance has been created to work alongside CDSB’s Reporting Framework to help enhance the quality of climate change disclosures in mainstream reporting – to make life easier for the people creating reports, and increase the relevance of disclosure for the investment community. </w:t>
      </w:r>
    </w:p>
    <w:p w:rsidR="002D4732" w:rsidRPr="0094075C" w:rsidRDefault="002D4732" w:rsidP="002D4732">
      <w:pPr>
        <w:pStyle w:val="Pa6"/>
        <w:spacing w:after="100"/>
        <w:rPr>
          <w:rStyle w:val="A50"/>
          <w:rFonts w:ascii="Arial" w:eastAsia="굴림" w:hAnsi="Arial" w:cs="Arial"/>
        </w:rPr>
      </w:pPr>
      <w:r w:rsidRPr="0094075C">
        <w:rPr>
          <w:rStyle w:val="A50"/>
          <w:rFonts w:ascii="Arial" w:eastAsia="굴림" w:hAnsi="Arial" w:cs="Arial"/>
        </w:rPr>
        <w:t xml:space="preserve">Climate change is already affecting businesses and society in diverse ways, and will continue to present a range of risks and opportunities into the future. These may be: </w:t>
      </w:r>
    </w:p>
    <w:p w:rsidR="002D4732" w:rsidRPr="0094075C" w:rsidRDefault="002D4732" w:rsidP="002D4732">
      <w:pPr>
        <w:pStyle w:val="Default"/>
        <w:rPr>
          <w:rFonts w:ascii="Arial" w:eastAsia="굴림" w:hAnsi="Arial" w:cs="Arial"/>
        </w:rPr>
      </w:pPr>
    </w:p>
    <w:p w:rsidR="002D4732" w:rsidRPr="0094075C" w:rsidRDefault="002D4732" w:rsidP="002D4732">
      <w:pPr>
        <w:pStyle w:val="Default"/>
        <w:spacing w:after="91"/>
        <w:rPr>
          <w:rFonts w:ascii="Arial" w:eastAsia="굴림" w:hAnsi="Arial" w:cs="Arial"/>
          <w:color w:val="221E1F"/>
          <w:sz w:val="16"/>
          <w:szCs w:val="16"/>
        </w:rPr>
      </w:pPr>
      <w:r w:rsidRPr="0094075C">
        <w:rPr>
          <w:rStyle w:val="A70"/>
          <w:rFonts w:ascii="Arial" w:eastAsia="굴림" w:hAnsi="Arial" w:cs="Arial"/>
        </w:rPr>
        <w:t xml:space="preserve">Regulatory: Current or expected requirements regarding GHG emissions limits, energy efficiency standards, carbon tax, process or product standards, and trading schemes </w:t>
      </w:r>
    </w:p>
    <w:p w:rsidR="002D4732" w:rsidRPr="0094075C" w:rsidRDefault="002D4732" w:rsidP="002D4732">
      <w:pPr>
        <w:pStyle w:val="Default"/>
        <w:spacing w:after="91"/>
        <w:rPr>
          <w:rFonts w:ascii="Arial" w:eastAsia="굴림" w:hAnsi="Arial" w:cs="Arial"/>
          <w:color w:val="221E1F"/>
          <w:sz w:val="16"/>
          <w:szCs w:val="16"/>
        </w:rPr>
      </w:pPr>
      <w:r w:rsidRPr="0094075C">
        <w:rPr>
          <w:rStyle w:val="A70"/>
          <w:rFonts w:ascii="Arial" w:eastAsia="굴림" w:hAnsi="Arial" w:cs="Arial"/>
        </w:rPr>
        <w:t xml:space="preserve">Physical: Changing weather patterns, sea level rise, shifts in species distribution, changes in water availability, changes in temperature, variation in agricultural yield and growing seasons </w:t>
      </w:r>
    </w:p>
    <w:p w:rsidR="002D4732" w:rsidRPr="0094075C" w:rsidRDefault="002D4732" w:rsidP="002D4732">
      <w:pPr>
        <w:pStyle w:val="Default"/>
        <w:spacing w:after="91"/>
        <w:rPr>
          <w:rFonts w:ascii="Arial" w:eastAsia="굴림" w:hAnsi="Arial" w:cs="Arial"/>
          <w:color w:val="221E1F"/>
          <w:sz w:val="16"/>
          <w:szCs w:val="16"/>
        </w:rPr>
      </w:pPr>
      <w:r w:rsidRPr="0094075C">
        <w:rPr>
          <w:rStyle w:val="A70"/>
          <w:rFonts w:ascii="Arial" w:eastAsia="굴림" w:hAnsi="Arial" w:cs="Arial"/>
        </w:rPr>
        <w:t xml:space="preserve">Reputational: Changing stakeholder and societal expectations and norms </w:t>
      </w:r>
    </w:p>
    <w:p w:rsidR="002D4732" w:rsidRPr="0094075C" w:rsidRDefault="002D4732" w:rsidP="002D4732">
      <w:pPr>
        <w:pStyle w:val="Default"/>
        <w:spacing w:after="91"/>
        <w:rPr>
          <w:rFonts w:ascii="Arial" w:eastAsia="굴림" w:hAnsi="Arial" w:cs="Arial"/>
          <w:sz w:val="16"/>
          <w:szCs w:val="16"/>
        </w:rPr>
      </w:pPr>
      <w:r w:rsidRPr="0094075C">
        <w:rPr>
          <w:rStyle w:val="A70"/>
          <w:rFonts w:ascii="Arial" w:eastAsia="굴림" w:hAnsi="Arial" w:cs="Arial"/>
        </w:rPr>
        <w:t xml:space="preserve">Legal: Changing landscape of liability including the possibility of lawsuits against those organizations seen to be responsible for contributing to the problem </w:t>
      </w:r>
    </w:p>
    <w:p w:rsidR="002D4732" w:rsidRPr="0094075C" w:rsidRDefault="002D4732" w:rsidP="002D4732">
      <w:pPr>
        <w:pStyle w:val="Default"/>
        <w:rPr>
          <w:rFonts w:ascii="Arial" w:eastAsia="굴림" w:hAnsi="Arial" w:cs="Arial"/>
          <w:color w:val="221E1F"/>
          <w:sz w:val="16"/>
          <w:szCs w:val="16"/>
        </w:rPr>
      </w:pPr>
      <w:r w:rsidRPr="0094075C">
        <w:rPr>
          <w:rStyle w:val="A70"/>
          <w:rFonts w:ascii="Arial" w:eastAsia="굴림" w:hAnsi="Arial" w:cs="Arial"/>
        </w:rPr>
        <w:t xml:space="preserve">Marketplace: Disruption and innovation as low-carbon solutions make less sustainable business models obsolete </w:t>
      </w:r>
    </w:p>
    <w:p w:rsidR="00E66EFE" w:rsidRPr="002D4732" w:rsidRDefault="00E66EFE" w:rsidP="002A76B4">
      <w:pPr>
        <w:spacing w:after="0" w:line="240" w:lineRule="atLeast"/>
        <w:rPr>
          <w:rFonts w:asciiTheme="majorHAnsi" w:eastAsiaTheme="majorHAnsi" w:hAnsiTheme="majorHAnsi" w:cs="Arial"/>
          <w:color w:val="404040" w:themeColor="text1" w:themeTint="BF"/>
          <w:szCs w:val="20"/>
        </w:rPr>
      </w:pPr>
    </w:p>
    <w:p w:rsidR="00962CE3" w:rsidRPr="00962CE3" w:rsidRDefault="00962CE3" w:rsidP="00E532DB">
      <w:pPr>
        <w:spacing w:after="0" w:line="240" w:lineRule="atLeast"/>
        <w:rPr>
          <w:rFonts w:ascii="Arial" w:hAnsi="Arial" w:cs="Arial"/>
          <w:color w:val="404040" w:themeColor="text1" w:themeTint="BF"/>
        </w:rPr>
      </w:pPr>
    </w:p>
    <w:p w:rsidR="00AE52A5" w:rsidRPr="002A76B4" w:rsidRDefault="00962CE3" w:rsidP="00E66EFE">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9B653C" w:rsidRDefault="009B653C" w:rsidP="00E66EFE">
      <w:pPr>
        <w:widowControl/>
        <w:wordWrap/>
        <w:autoSpaceDE/>
        <w:autoSpaceDN/>
      </w:pPr>
    </w:p>
    <w:p w:rsidR="009B653C" w:rsidRDefault="00C63AD1" w:rsidP="00E66EFE">
      <w:pPr>
        <w:widowControl/>
        <w:wordWrap/>
        <w:autoSpaceDE/>
        <w:autoSpaceDN/>
      </w:pPr>
      <w:r w:rsidRPr="00C63AD1">
        <w:rPr>
          <w:rFonts w:hint="eastAsia"/>
        </w:rPr>
        <w:drawing>
          <wp:anchor distT="0" distB="0" distL="114300" distR="114300" simplePos="0" relativeHeight="251660288" behindDoc="1" locked="0" layoutInCell="1" allowOverlap="1">
            <wp:simplePos x="0" y="0"/>
            <wp:positionH relativeFrom="column">
              <wp:posOffset>19050</wp:posOffset>
            </wp:positionH>
            <wp:positionV relativeFrom="paragraph">
              <wp:posOffset>381671</wp:posOffset>
            </wp:positionV>
            <wp:extent cx="1060893" cy="1259457"/>
            <wp:effectExtent l="19050" t="0" r="7177" b="0"/>
            <wp:wrapTight wrapText="bothSides">
              <wp:wrapPolygon edited="0">
                <wp:start x="-388" y="0"/>
                <wp:lineTo x="-388" y="21236"/>
                <wp:lineTo x="21746" y="21236"/>
                <wp:lineTo x="21746" y="0"/>
                <wp:lineTo x="-388" y="0"/>
              </wp:wrapPolygon>
            </wp:wrapTight>
            <wp:docPr id="5" name="그림 3" descr="GHG Protocol Financial Sector Guidance Survey Results 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 Protocol Financial Sector Guidance Survey Results Report-1.jpg"/>
                    <pic:cNvPicPr/>
                  </pic:nvPicPr>
                  <pic:blipFill>
                    <a:blip r:embed="rId8" cstate="print"/>
                    <a:stretch>
                      <a:fillRect/>
                    </a:stretch>
                  </pic:blipFill>
                  <pic:spPr>
                    <a:xfrm>
                      <a:off x="0" y="0"/>
                      <a:ext cx="1059623" cy="1259457"/>
                    </a:xfrm>
                    <a:prstGeom prst="rect">
                      <a:avLst/>
                    </a:prstGeom>
                  </pic:spPr>
                </pic:pic>
              </a:graphicData>
            </a:graphic>
          </wp:anchor>
        </w:drawing>
      </w:r>
    </w:p>
    <w:p w:rsidR="00C63AD1" w:rsidRDefault="00C63AD1" w:rsidP="002A76B4">
      <w:pPr>
        <w:spacing w:after="0" w:line="240" w:lineRule="atLeast"/>
        <w:rPr>
          <w:rFonts w:asciiTheme="minorEastAsia" w:hAnsiTheme="minorEastAsia" w:cs="바탕" w:hint="eastAsia"/>
          <w:b/>
          <w:color w:val="365F91" w:themeColor="accent1" w:themeShade="BF"/>
          <w:szCs w:val="20"/>
        </w:rPr>
      </w:pPr>
    </w:p>
    <w:p w:rsidR="00C63AD1" w:rsidRDefault="00C63AD1" w:rsidP="002A76B4">
      <w:pPr>
        <w:spacing w:after="0" w:line="240" w:lineRule="atLeast"/>
        <w:rPr>
          <w:rFonts w:asciiTheme="minorEastAsia" w:hAnsiTheme="minorEastAsia" w:cs="바탕" w:hint="eastAsia"/>
          <w:b/>
          <w:color w:val="365F91" w:themeColor="accent1" w:themeShade="BF"/>
          <w:szCs w:val="20"/>
        </w:rPr>
      </w:pPr>
    </w:p>
    <w:p w:rsidR="0094075C" w:rsidRDefault="0094075C" w:rsidP="002A76B4">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GHG Protocol Financial Sector Guidance</w:t>
      </w:r>
    </w:p>
    <w:p w:rsidR="009B653C" w:rsidRPr="0094075C" w:rsidRDefault="0094075C" w:rsidP="0094075C">
      <w:pPr>
        <w:spacing w:after="0" w:line="240" w:lineRule="atLeast"/>
        <w:ind w:firstLineChars="50" w:firstLine="100"/>
        <w:rPr>
          <w:rFonts w:asciiTheme="minorEastAsia" w:hAnsiTheme="minorEastAsia" w:cs="바탕"/>
          <w:b/>
          <w:color w:val="365F91" w:themeColor="accent1" w:themeShade="BF"/>
          <w:szCs w:val="20"/>
        </w:rPr>
      </w:pPr>
      <w:r w:rsidRPr="0094075C">
        <w:rPr>
          <w:rFonts w:asciiTheme="minorEastAsia" w:hAnsiTheme="minorEastAsia" w:cs="바탕" w:hint="eastAsia"/>
          <w:b/>
          <w:color w:val="365F91" w:themeColor="accent1" w:themeShade="BF"/>
          <w:szCs w:val="20"/>
        </w:rPr>
        <w:t>-</w:t>
      </w:r>
      <w:r>
        <w:rPr>
          <w:rFonts w:asciiTheme="minorEastAsia" w:hAnsiTheme="minorEastAsia" w:cs="바탕" w:hint="eastAsia"/>
          <w:b/>
          <w:color w:val="365F91" w:themeColor="accent1" w:themeShade="BF"/>
          <w:szCs w:val="20"/>
        </w:rPr>
        <w:t xml:space="preserve"> </w:t>
      </w:r>
      <w:r w:rsidRPr="0094075C">
        <w:rPr>
          <w:rFonts w:asciiTheme="minorEastAsia" w:hAnsiTheme="minorEastAsia" w:cs="바탕" w:hint="eastAsia"/>
          <w:b/>
          <w:color w:val="365F91" w:themeColor="accent1" w:themeShade="BF"/>
          <w:szCs w:val="20"/>
        </w:rPr>
        <w:t>Summary of online survey results</w:t>
      </w:r>
    </w:p>
    <w:p w:rsidR="009B653C" w:rsidRPr="0094075C" w:rsidRDefault="009B653C" w:rsidP="009B653C">
      <w:pPr>
        <w:spacing w:after="0" w:line="240" w:lineRule="atLeast"/>
        <w:rPr>
          <w:rFonts w:asciiTheme="minorEastAsia" w:hAnsiTheme="minorEastAsia" w:cs="바탕"/>
          <w:b/>
          <w:color w:val="365F91" w:themeColor="accent1" w:themeShade="BF"/>
          <w:szCs w:val="20"/>
        </w:rPr>
      </w:pPr>
    </w:p>
    <w:p w:rsidR="009B653C" w:rsidRPr="00BF43BF" w:rsidRDefault="009B653C" w:rsidP="009B653C">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94075C">
        <w:rPr>
          <w:rFonts w:asciiTheme="minorEastAsia" w:hAnsiTheme="minorEastAsia" w:cs="바탕" w:hint="eastAsia"/>
          <w:color w:val="365F91" w:themeColor="accent1" w:themeShade="BF"/>
          <w:szCs w:val="20"/>
        </w:rPr>
        <w:t>: 2013. 1</w:t>
      </w:r>
      <w:r w:rsidRPr="00BF43BF">
        <w:rPr>
          <w:rFonts w:asciiTheme="minorEastAsia" w:hAnsiTheme="minorEastAsia" w:cs="바탕" w:hint="eastAsia"/>
          <w:color w:val="365F91" w:themeColor="accent1" w:themeShade="BF"/>
          <w:szCs w:val="20"/>
        </w:rPr>
        <w:t xml:space="preserve"> / 발행처: </w:t>
      </w:r>
      <w:r w:rsidR="0094075C">
        <w:rPr>
          <w:rFonts w:asciiTheme="minorEastAsia" w:hAnsiTheme="minorEastAsia" w:cs="바탕" w:hint="eastAsia"/>
          <w:color w:val="365F91" w:themeColor="accent1" w:themeShade="BF"/>
          <w:szCs w:val="20"/>
        </w:rPr>
        <w:t>GHG Protocol / UNEP FI</w:t>
      </w:r>
    </w:p>
    <w:p w:rsidR="009B653C" w:rsidRDefault="009B653C" w:rsidP="009B653C"/>
    <w:p w:rsidR="009B653C" w:rsidRPr="002A76B4" w:rsidRDefault="0094075C" w:rsidP="002A76B4">
      <w:pPr>
        <w:spacing w:after="0" w:line="240" w:lineRule="atLeast"/>
        <w:rPr>
          <w:rFonts w:asciiTheme="majorHAnsi" w:eastAsiaTheme="majorHAnsi" w:hAnsiTheme="majorHAnsi" w:cs="Arial"/>
          <w:color w:val="404040" w:themeColor="text1" w:themeTint="BF"/>
          <w:szCs w:val="20"/>
        </w:rPr>
      </w:pPr>
      <w:r w:rsidRPr="0094075C">
        <w:rPr>
          <w:rFonts w:asciiTheme="majorHAnsi" w:eastAsiaTheme="majorHAnsi" w:hAnsiTheme="majorHAnsi" w:cs="Arial"/>
          <w:color w:val="404040" w:themeColor="text1" w:themeTint="BF"/>
          <w:szCs w:val="20"/>
        </w:rPr>
        <w:t xml:space="preserve">GHG Protocol and UNEP Finance Initiative have partnered to investigate whether to develop new guidance for the financial sector on accounting for greenhouse gas (GHG) emissions associated with lending and investing (“financed emissions”). The guidance would be a sector-specific supplement to the GHG Protocol Corporate Value Chain (Scope 3) Standard. An online survey was conducted to assist in establishing the need for developing guidance on accounting for financed emissions and to gain insight into what the content of the new guidance should be, if it were to be developed. Over 100 stakeholders from a broad range of organizations and regions completed </w:t>
      </w:r>
      <w:r w:rsidRPr="0094075C">
        <w:rPr>
          <w:rFonts w:asciiTheme="majorHAnsi" w:eastAsiaTheme="majorHAnsi" w:hAnsiTheme="majorHAnsi" w:cs="Arial"/>
          <w:color w:val="404040" w:themeColor="text1" w:themeTint="BF"/>
          <w:szCs w:val="20"/>
        </w:rPr>
        <w:lastRenderedPageBreak/>
        <w:t>the survey.</w:t>
      </w:r>
    </w:p>
    <w:p w:rsidR="009B653C" w:rsidRPr="00962CE3" w:rsidRDefault="009B653C" w:rsidP="009B653C">
      <w:pPr>
        <w:spacing w:after="0" w:line="240" w:lineRule="atLeast"/>
        <w:rPr>
          <w:rFonts w:ascii="Arial" w:hAnsi="Arial" w:cs="Arial"/>
          <w:color w:val="404040" w:themeColor="text1" w:themeTint="BF"/>
        </w:rPr>
      </w:pPr>
    </w:p>
    <w:p w:rsidR="009B653C" w:rsidRPr="002A76B4" w:rsidRDefault="009B653C" w:rsidP="009B653C">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9B653C" w:rsidRPr="00E66EFE" w:rsidRDefault="009B653C" w:rsidP="009B653C">
      <w:pPr>
        <w:widowControl/>
        <w:wordWrap/>
        <w:autoSpaceDE/>
        <w:autoSpaceDN/>
      </w:pPr>
      <w:r w:rsidRPr="00AE52A5">
        <w:t>http://www.kosif.org/board/bbs/board.php?bo_table=interior&amp;wr_id=421</w:t>
      </w:r>
    </w:p>
    <w:p w:rsidR="009B653C" w:rsidRPr="009B653C" w:rsidRDefault="009B653C" w:rsidP="00E66EFE">
      <w:pPr>
        <w:widowControl/>
        <w:wordWrap/>
        <w:autoSpaceDE/>
        <w:autoSpaceDN/>
      </w:pPr>
    </w:p>
    <w:sectPr w:rsidR="009B653C" w:rsidRPr="009B653C"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AD1" w:rsidRDefault="00C63AD1" w:rsidP="007C5CAE">
      <w:pPr>
        <w:spacing w:after="0" w:line="240" w:lineRule="auto"/>
      </w:pPr>
      <w:r>
        <w:separator/>
      </w:r>
    </w:p>
  </w:endnote>
  <w:endnote w:type="continuationSeparator" w:id="0">
    <w:p w:rsidR="00C63AD1" w:rsidRDefault="00C63AD1"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Interstate Bold">
    <w:altName w:val="굴림"/>
    <w:panose1 w:val="00000000000000000000"/>
    <w:charset w:val="81"/>
    <w:family w:val="swiss"/>
    <w:notTrueType/>
    <w:pitch w:val="default"/>
    <w:sig w:usb0="00000001" w:usb1="09060000" w:usb2="00000010" w:usb3="00000000" w:csb0="00080000" w:csb1="00000000"/>
  </w:font>
  <w:font w:name="Interstate Light">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AD1" w:rsidRDefault="00C63AD1" w:rsidP="007C5CAE">
      <w:pPr>
        <w:spacing w:after="0" w:line="240" w:lineRule="auto"/>
      </w:pPr>
      <w:r>
        <w:separator/>
      </w:r>
    </w:p>
  </w:footnote>
  <w:footnote w:type="continuationSeparator" w:id="0">
    <w:p w:rsidR="00C63AD1" w:rsidRDefault="00C63AD1"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DB3584"/>
    <w:multiLevelType w:val="hybridMultilevel"/>
    <w:tmpl w:val="79F6DF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168C4"/>
    <w:multiLevelType w:val="hybridMultilevel"/>
    <w:tmpl w:val="B5609498"/>
    <w:lvl w:ilvl="0" w:tplc="2EEA39C6">
      <w:numFmt w:val="bullet"/>
      <w:lvlText w:val="-"/>
      <w:lvlJc w:val="left"/>
      <w:pPr>
        <w:ind w:left="450" w:hanging="360"/>
      </w:pPr>
      <w:rPr>
        <w:rFonts w:ascii="맑은 고딕" w:eastAsia="맑은 고딕" w:hAnsi="맑은 고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1659057B"/>
    <w:multiLevelType w:val="hybridMultilevel"/>
    <w:tmpl w:val="DB445F86"/>
    <w:lvl w:ilvl="0" w:tplc="43B2834E">
      <w:numFmt w:val="bullet"/>
      <w:lvlText w:val="-"/>
      <w:lvlJc w:val="left"/>
      <w:pPr>
        <w:ind w:left="900" w:hanging="360"/>
      </w:pPr>
      <w:rPr>
        <w:rFonts w:ascii="맑은 고딕" w:eastAsia="맑은 고딕" w:hAnsi="맑은 고딕" w:cs="바탕"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3">
    <w:nsid w:val="67992D4B"/>
    <w:multiLevelType w:val="hybridMultilevel"/>
    <w:tmpl w:val="A6B043F8"/>
    <w:lvl w:ilvl="0" w:tplc="BA364342">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576D0"/>
    <w:rsid w:val="00164075"/>
    <w:rsid w:val="002A76B4"/>
    <w:rsid w:val="002D4732"/>
    <w:rsid w:val="00403915"/>
    <w:rsid w:val="007C5CAE"/>
    <w:rsid w:val="0094075C"/>
    <w:rsid w:val="00962CE3"/>
    <w:rsid w:val="00991A3A"/>
    <w:rsid w:val="009A1302"/>
    <w:rsid w:val="009B653C"/>
    <w:rsid w:val="00AB4D14"/>
    <w:rsid w:val="00AE52A5"/>
    <w:rsid w:val="00C63AD1"/>
    <w:rsid w:val="00E532DB"/>
    <w:rsid w:val="00E66EFE"/>
    <w:rsid w:val="00EB561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2D4732"/>
    <w:pPr>
      <w:ind w:leftChars="400" w:left="800"/>
    </w:pPr>
  </w:style>
  <w:style w:type="paragraph" w:customStyle="1" w:styleId="Default">
    <w:name w:val="Default"/>
    <w:rsid w:val="002D4732"/>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2D4732"/>
    <w:pPr>
      <w:spacing w:line="241" w:lineRule="atLeast"/>
    </w:pPr>
    <w:rPr>
      <w:rFonts w:cstheme="minorBidi"/>
      <w:color w:val="auto"/>
    </w:rPr>
  </w:style>
  <w:style w:type="character" w:customStyle="1" w:styleId="A50">
    <w:name w:val="A5"/>
    <w:uiPriority w:val="99"/>
    <w:rsid w:val="002D4732"/>
    <w:rPr>
      <w:rFonts w:cs="Interstate Bold"/>
      <w:color w:val="221E1F"/>
      <w:sz w:val="20"/>
      <w:szCs w:val="20"/>
    </w:rPr>
  </w:style>
  <w:style w:type="character" w:customStyle="1" w:styleId="A70">
    <w:name w:val="A7"/>
    <w:uiPriority w:val="99"/>
    <w:rsid w:val="002D4732"/>
    <w:rPr>
      <w:rFonts w:ascii="Interstate Light" w:eastAsia="Interstate Light" w:cs="Interstate Light"/>
      <w:color w:val="221E1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331</Words>
  <Characters>1891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7</cp:revision>
  <dcterms:created xsi:type="dcterms:W3CDTF">2012-07-20T07:52:00Z</dcterms:created>
  <dcterms:modified xsi:type="dcterms:W3CDTF">2013-03-06T06:38:00Z</dcterms:modified>
</cp:coreProperties>
</file>