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511" w:rsidRDefault="00B35511" w:rsidP="00B35511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  <w:r w:rsidRPr="00C6466C">
        <w:rPr>
          <w:rFonts w:asciiTheme="majorHAnsi" w:eastAsiaTheme="majorHAnsi" w:hAnsiTheme="majorHAnsi" w:cs="바탕" w:hint="eastAsia"/>
          <w:b/>
          <w:szCs w:val="20"/>
        </w:rPr>
        <w:t>Report</w:t>
      </w:r>
    </w:p>
    <w:p w:rsidR="00B35511" w:rsidRDefault="00BB1B0E" w:rsidP="00B35511">
      <w:pPr>
        <w:spacing w:after="0" w:line="240" w:lineRule="atLeast"/>
        <w:rPr>
          <w:rFonts w:asciiTheme="minorEastAsia" w:hAnsiTheme="minorEastAsia" w:cs="바탕" w:hint="eastAsia"/>
          <w:b/>
          <w:color w:val="365F91" w:themeColor="accent1" w:themeShade="BF"/>
          <w:szCs w:val="20"/>
        </w:rPr>
      </w:pPr>
      <w:r>
        <w:rPr>
          <w:rFonts w:asciiTheme="minorEastAsia" w:hAnsiTheme="minorEastAsia" w:cs="바탕"/>
          <w:b/>
          <w:noProof/>
          <w:color w:val="365F91" w:themeColor="accent1" w:themeShade="BF"/>
          <w:szCs w:val="20"/>
        </w:rPr>
        <w:drawing>
          <wp:inline distT="0" distB="0" distL="0" distR="0">
            <wp:extent cx="1076505" cy="1528803"/>
            <wp:effectExtent l="19050" t="0" r="9345" b="0"/>
            <wp:docPr id="2" name="그림 1" descr="\\공유컴퓨터\공유 문서\최애정\뉴스레터\2014\2월\보고서\무제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공유컴퓨터\공유 문서\최애정\뉴스레터\2014\2월\보고서\무제-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801" cy="1532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511" w:rsidRPr="00BB1B0E" w:rsidRDefault="00BB1B0E" w:rsidP="00B35511">
      <w:pPr>
        <w:pStyle w:val="a7"/>
        <w:spacing w:after="0" w:line="240" w:lineRule="atLeast"/>
        <w:ind w:leftChars="0" w:left="810"/>
        <w:rPr>
          <w:rFonts w:asciiTheme="minorEastAsia" w:hAnsiTheme="minorEastAsia" w:cs="바탕"/>
          <w:color w:val="365F91" w:themeColor="accent1" w:themeShade="BF"/>
          <w:szCs w:val="20"/>
        </w:rPr>
      </w:pPr>
      <w:r w:rsidRPr="00BB1B0E">
        <w:rPr>
          <w:rFonts w:asciiTheme="minorEastAsia" w:hAnsiTheme="minorEastAsia" w:cs="바탕"/>
          <w:b/>
          <w:color w:val="365F91" w:themeColor="accent1" w:themeShade="BF"/>
          <w:szCs w:val="20"/>
        </w:rPr>
        <w:t>The KPMG Survey of Corporate Responsibility Reporting 2013</w:t>
      </w:r>
    </w:p>
    <w:p w:rsidR="00B35511" w:rsidRDefault="00B35511" w:rsidP="00B35511">
      <w:pPr>
        <w:spacing w:after="0" w:line="240" w:lineRule="atLeast"/>
        <w:rPr>
          <w:rFonts w:asciiTheme="minorEastAsia" w:hAnsiTheme="minorEastAsia" w:cs="바탕"/>
          <w:color w:val="365F91" w:themeColor="accent1" w:themeShade="BF"/>
          <w:szCs w:val="20"/>
        </w:rPr>
      </w:pPr>
    </w:p>
    <w:p w:rsidR="00B35511" w:rsidRPr="00BF43BF" w:rsidRDefault="00B35511" w:rsidP="00B35511">
      <w:pPr>
        <w:spacing w:after="0" w:line="240" w:lineRule="atLeast"/>
        <w:rPr>
          <w:rFonts w:asciiTheme="minorEastAsia" w:hAnsiTheme="minorEastAsia" w:cs="바탕"/>
          <w:color w:val="365F91" w:themeColor="accent1" w:themeShade="BF"/>
          <w:szCs w:val="20"/>
        </w:rPr>
      </w:pPr>
      <w:r w:rsidRPr="00BF43BF">
        <w:rPr>
          <w:rFonts w:asciiTheme="minorEastAsia" w:hAnsiTheme="minorEastAsia" w:cs="바탕" w:hint="eastAsia"/>
          <w:color w:val="365F91" w:themeColor="accent1" w:themeShade="BF"/>
          <w:szCs w:val="20"/>
        </w:rPr>
        <w:t xml:space="preserve">발행처: </w:t>
      </w:r>
      <w:r w:rsidR="00BB1B0E">
        <w:rPr>
          <w:rFonts w:asciiTheme="minorEastAsia" w:hAnsiTheme="minorEastAsia" w:cs="바탕" w:hint="eastAsia"/>
          <w:color w:val="365F91" w:themeColor="accent1" w:themeShade="BF"/>
          <w:szCs w:val="20"/>
        </w:rPr>
        <w:t>KPMG</w:t>
      </w:r>
    </w:p>
    <w:p w:rsidR="00B35511" w:rsidRDefault="00B35511" w:rsidP="00B35511">
      <w:pPr>
        <w:pStyle w:val="Default"/>
      </w:pPr>
    </w:p>
    <w:p w:rsidR="00BB1B0E" w:rsidRPr="009C4C2C" w:rsidRDefault="00BB1B0E" w:rsidP="00B35511">
      <w:pPr>
        <w:pStyle w:val="Default"/>
        <w:rPr>
          <w:rFonts w:asciiTheme="majorHAnsi" w:eastAsiaTheme="majorHAnsi" w:hAnsiTheme="majorHAnsi" w:hint="eastAsia"/>
          <w:b/>
          <w:color w:val="365F91" w:themeColor="accent1" w:themeShade="BF"/>
          <w:szCs w:val="20"/>
        </w:rPr>
      </w:pPr>
      <w:r w:rsidRPr="009C4C2C">
        <w:rPr>
          <w:rFonts w:asciiTheme="majorHAnsi" w:eastAsiaTheme="majorHAnsi" w:hAnsiTheme="majorHAnsi"/>
          <w:b/>
          <w:color w:val="365F91" w:themeColor="accent1" w:themeShade="BF"/>
          <w:szCs w:val="20"/>
        </w:rPr>
        <w:t>Contents</w:t>
      </w:r>
    </w:p>
    <w:p w:rsidR="00BB1B0E" w:rsidRPr="009C4C2C" w:rsidRDefault="009C4C2C" w:rsidP="009C4C2C">
      <w:pPr>
        <w:pStyle w:val="Default"/>
        <w:numPr>
          <w:ilvl w:val="0"/>
          <w:numId w:val="5"/>
        </w:numPr>
        <w:rPr>
          <w:rFonts w:asciiTheme="majorHAnsi" w:eastAsiaTheme="majorHAnsi" w:hAnsiTheme="majorHAnsi" w:hint="eastAsia"/>
          <w:sz w:val="19"/>
          <w:szCs w:val="19"/>
        </w:rPr>
      </w:pPr>
      <w:r w:rsidRPr="009C4C2C">
        <w:rPr>
          <w:rFonts w:asciiTheme="majorHAnsi" w:eastAsiaTheme="majorHAnsi" w:hAnsiTheme="majorHAnsi"/>
          <w:sz w:val="19"/>
          <w:szCs w:val="19"/>
        </w:rPr>
        <w:t xml:space="preserve">about this survey </w:t>
      </w:r>
    </w:p>
    <w:p w:rsidR="00BB1B0E" w:rsidRPr="009C4C2C" w:rsidRDefault="009C4C2C" w:rsidP="009C4C2C">
      <w:pPr>
        <w:pStyle w:val="Default"/>
        <w:numPr>
          <w:ilvl w:val="0"/>
          <w:numId w:val="5"/>
        </w:numPr>
        <w:rPr>
          <w:rFonts w:asciiTheme="majorHAnsi" w:eastAsiaTheme="majorHAnsi" w:hAnsiTheme="majorHAnsi" w:hint="eastAsia"/>
          <w:sz w:val="19"/>
          <w:szCs w:val="19"/>
        </w:rPr>
      </w:pPr>
      <w:r w:rsidRPr="009C4C2C">
        <w:rPr>
          <w:rFonts w:asciiTheme="majorHAnsi" w:eastAsiaTheme="majorHAnsi" w:hAnsiTheme="majorHAnsi"/>
          <w:sz w:val="19"/>
          <w:szCs w:val="19"/>
        </w:rPr>
        <w:t xml:space="preserve">Methodology </w:t>
      </w:r>
    </w:p>
    <w:p w:rsidR="00BB1B0E" w:rsidRPr="009C4C2C" w:rsidRDefault="00BB1B0E" w:rsidP="009C4C2C">
      <w:pPr>
        <w:pStyle w:val="Default"/>
        <w:numPr>
          <w:ilvl w:val="0"/>
          <w:numId w:val="5"/>
        </w:numPr>
        <w:rPr>
          <w:rFonts w:asciiTheme="majorHAnsi" w:eastAsiaTheme="majorHAnsi" w:hAnsiTheme="majorHAnsi" w:hint="eastAsia"/>
          <w:sz w:val="19"/>
          <w:szCs w:val="19"/>
        </w:rPr>
      </w:pPr>
      <w:r w:rsidRPr="009C4C2C">
        <w:rPr>
          <w:rFonts w:asciiTheme="majorHAnsi" w:eastAsiaTheme="majorHAnsi" w:hAnsiTheme="majorHAnsi"/>
          <w:sz w:val="19"/>
          <w:szCs w:val="19"/>
        </w:rPr>
        <w:t xml:space="preserve">Corporate responsibility reporting: </w:t>
      </w:r>
      <w:r w:rsidR="009C4C2C" w:rsidRPr="009C4C2C">
        <w:rPr>
          <w:rFonts w:asciiTheme="majorHAnsi" w:eastAsiaTheme="majorHAnsi" w:hAnsiTheme="majorHAnsi"/>
          <w:sz w:val="19"/>
          <w:szCs w:val="19"/>
        </w:rPr>
        <w:t xml:space="preserve">is it really worth it? </w:t>
      </w:r>
    </w:p>
    <w:p w:rsidR="00BB1B0E" w:rsidRPr="009C4C2C" w:rsidRDefault="009C4C2C" w:rsidP="009C4C2C">
      <w:pPr>
        <w:pStyle w:val="Default"/>
        <w:numPr>
          <w:ilvl w:val="0"/>
          <w:numId w:val="5"/>
        </w:numPr>
        <w:rPr>
          <w:rFonts w:asciiTheme="majorHAnsi" w:eastAsiaTheme="majorHAnsi" w:hAnsiTheme="majorHAnsi" w:hint="eastAsia"/>
          <w:sz w:val="19"/>
          <w:szCs w:val="19"/>
        </w:rPr>
      </w:pPr>
      <w:r w:rsidRPr="009C4C2C">
        <w:rPr>
          <w:rFonts w:asciiTheme="majorHAnsi" w:eastAsiaTheme="majorHAnsi" w:hAnsiTheme="majorHAnsi"/>
          <w:sz w:val="19"/>
          <w:szCs w:val="19"/>
        </w:rPr>
        <w:t xml:space="preserve">Key findings </w:t>
      </w:r>
    </w:p>
    <w:p w:rsidR="00BB1B0E" w:rsidRPr="009C4C2C" w:rsidRDefault="00BB1B0E" w:rsidP="00B35511">
      <w:pPr>
        <w:pStyle w:val="Default"/>
        <w:rPr>
          <w:rFonts w:asciiTheme="majorHAnsi" w:eastAsiaTheme="majorHAnsi" w:hAnsiTheme="majorHAnsi" w:hint="eastAsia"/>
          <w:sz w:val="19"/>
          <w:szCs w:val="19"/>
        </w:rPr>
      </w:pPr>
    </w:p>
    <w:p w:rsidR="00BB1B0E" w:rsidRPr="009C4C2C" w:rsidRDefault="00BB1B0E" w:rsidP="00B35511">
      <w:pPr>
        <w:pStyle w:val="Default"/>
        <w:rPr>
          <w:rFonts w:asciiTheme="majorHAnsi" w:eastAsiaTheme="majorHAnsi" w:hAnsiTheme="majorHAnsi" w:hint="eastAsia"/>
          <w:color w:val="008499"/>
          <w:sz w:val="22"/>
          <w:szCs w:val="22"/>
        </w:rPr>
      </w:pPr>
      <w:r w:rsidRPr="009C4C2C">
        <w:rPr>
          <w:rFonts w:asciiTheme="majorHAnsi" w:eastAsiaTheme="majorHAnsi" w:hAnsiTheme="majorHAnsi"/>
          <w:color w:val="008499"/>
          <w:sz w:val="22"/>
          <w:szCs w:val="22"/>
        </w:rPr>
        <w:t xml:space="preserve">Part 1: </w:t>
      </w:r>
      <w:r w:rsidRPr="009C4C2C">
        <w:rPr>
          <w:rFonts w:asciiTheme="majorHAnsi" w:eastAsiaTheme="majorHAnsi" w:hAnsiTheme="majorHAnsi"/>
          <w:b/>
          <w:bCs/>
          <w:color w:val="008499"/>
          <w:sz w:val="22"/>
          <w:szCs w:val="22"/>
        </w:rPr>
        <w:t xml:space="preserve">Global trends in CR reporting: a view across 41 countries </w:t>
      </w:r>
    </w:p>
    <w:p w:rsidR="00BB1B0E" w:rsidRPr="009C4C2C" w:rsidRDefault="00BB1B0E" w:rsidP="009C4C2C">
      <w:pPr>
        <w:pStyle w:val="Default"/>
        <w:numPr>
          <w:ilvl w:val="0"/>
          <w:numId w:val="2"/>
        </w:numPr>
        <w:rPr>
          <w:rFonts w:asciiTheme="majorHAnsi" w:eastAsiaTheme="majorHAnsi" w:hAnsiTheme="majorHAnsi" w:hint="eastAsia"/>
          <w:sz w:val="19"/>
          <w:szCs w:val="19"/>
        </w:rPr>
      </w:pPr>
      <w:r w:rsidRPr="009C4C2C">
        <w:rPr>
          <w:rFonts w:asciiTheme="majorHAnsi" w:eastAsiaTheme="majorHAnsi" w:hAnsiTheme="majorHAnsi"/>
          <w:sz w:val="19"/>
          <w:szCs w:val="19"/>
        </w:rPr>
        <w:t xml:space="preserve">Cr reporting rates: </w:t>
      </w:r>
      <w:proofErr w:type="spellStart"/>
      <w:r w:rsidRPr="009C4C2C">
        <w:rPr>
          <w:rFonts w:asciiTheme="majorHAnsi" w:eastAsiaTheme="majorHAnsi" w:hAnsiTheme="majorHAnsi"/>
          <w:sz w:val="19"/>
          <w:szCs w:val="19"/>
        </w:rPr>
        <w:t>asia</w:t>
      </w:r>
      <w:proofErr w:type="spellEnd"/>
      <w:r w:rsidRPr="009C4C2C">
        <w:rPr>
          <w:rFonts w:asciiTheme="majorHAnsi" w:eastAsiaTheme="majorHAnsi" w:hAnsiTheme="majorHAnsi"/>
          <w:sz w:val="19"/>
          <w:szCs w:val="19"/>
        </w:rPr>
        <w:t xml:space="preserve"> P</w:t>
      </w:r>
      <w:r w:rsidR="009C4C2C" w:rsidRPr="009C4C2C">
        <w:rPr>
          <w:rFonts w:asciiTheme="majorHAnsi" w:eastAsiaTheme="majorHAnsi" w:hAnsiTheme="majorHAnsi"/>
          <w:sz w:val="19"/>
          <w:szCs w:val="19"/>
        </w:rPr>
        <w:t xml:space="preserve">acific sees strongest growth </w:t>
      </w:r>
    </w:p>
    <w:p w:rsidR="00BB1B0E" w:rsidRPr="009C4C2C" w:rsidRDefault="00BB1B0E" w:rsidP="009C4C2C">
      <w:pPr>
        <w:pStyle w:val="Default"/>
        <w:numPr>
          <w:ilvl w:val="0"/>
          <w:numId w:val="2"/>
        </w:numPr>
        <w:rPr>
          <w:rFonts w:asciiTheme="majorHAnsi" w:eastAsiaTheme="majorHAnsi" w:hAnsiTheme="majorHAnsi" w:hint="eastAsia"/>
          <w:sz w:val="19"/>
          <w:szCs w:val="19"/>
        </w:rPr>
      </w:pPr>
      <w:r w:rsidRPr="009C4C2C">
        <w:rPr>
          <w:rFonts w:asciiTheme="majorHAnsi" w:eastAsiaTheme="majorHAnsi" w:hAnsiTheme="majorHAnsi"/>
          <w:sz w:val="19"/>
          <w:szCs w:val="19"/>
        </w:rPr>
        <w:t>regulation d</w:t>
      </w:r>
      <w:r w:rsidR="009C4C2C" w:rsidRPr="009C4C2C">
        <w:rPr>
          <w:rFonts w:asciiTheme="majorHAnsi" w:eastAsiaTheme="majorHAnsi" w:hAnsiTheme="majorHAnsi"/>
          <w:sz w:val="19"/>
          <w:szCs w:val="19"/>
        </w:rPr>
        <w:t xml:space="preserve">rives growth in Cr reporting </w:t>
      </w:r>
    </w:p>
    <w:p w:rsidR="00BB1B0E" w:rsidRPr="009C4C2C" w:rsidRDefault="00BB1B0E" w:rsidP="009C4C2C">
      <w:pPr>
        <w:pStyle w:val="Default"/>
        <w:numPr>
          <w:ilvl w:val="0"/>
          <w:numId w:val="2"/>
        </w:numPr>
        <w:rPr>
          <w:rFonts w:asciiTheme="majorHAnsi" w:eastAsiaTheme="majorHAnsi" w:hAnsiTheme="majorHAnsi" w:hint="eastAsia"/>
          <w:sz w:val="19"/>
          <w:szCs w:val="19"/>
        </w:rPr>
      </w:pPr>
      <w:r w:rsidRPr="009C4C2C">
        <w:rPr>
          <w:rFonts w:asciiTheme="majorHAnsi" w:eastAsiaTheme="majorHAnsi" w:hAnsiTheme="majorHAnsi"/>
          <w:sz w:val="19"/>
          <w:szCs w:val="19"/>
        </w:rPr>
        <w:t xml:space="preserve">a narrowing gap between leading and lagging </w:t>
      </w:r>
      <w:r w:rsidR="009C4C2C" w:rsidRPr="009C4C2C">
        <w:rPr>
          <w:rFonts w:asciiTheme="majorHAnsi" w:eastAsiaTheme="majorHAnsi" w:hAnsiTheme="majorHAnsi"/>
          <w:sz w:val="19"/>
          <w:szCs w:val="19"/>
        </w:rPr>
        <w:t xml:space="preserve">sectors </w:t>
      </w:r>
    </w:p>
    <w:p w:rsidR="00BB1B0E" w:rsidRPr="009C4C2C" w:rsidRDefault="00BB1B0E" w:rsidP="009C4C2C">
      <w:pPr>
        <w:pStyle w:val="Default"/>
        <w:numPr>
          <w:ilvl w:val="0"/>
          <w:numId w:val="2"/>
        </w:numPr>
        <w:rPr>
          <w:rFonts w:asciiTheme="majorHAnsi" w:eastAsiaTheme="majorHAnsi" w:hAnsiTheme="majorHAnsi" w:hint="eastAsia"/>
          <w:sz w:val="19"/>
          <w:szCs w:val="19"/>
        </w:rPr>
      </w:pPr>
      <w:r w:rsidRPr="009C4C2C">
        <w:rPr>
          <w:rFonts w:asciiTheme="majorHAnsi" w:eastAsiaTheme="majorHAnsi" w:hAnsiTheme="majorHAnsi"/>
          <w:sz w:val="19"/>
          <w:szCs w:val="19"/>
        </w:rPr>
        <w:t>More companies report on Cr in the annual report but ‘integrated reports’</w:t>
      </w:r>
      <w:r w:rsidR="009C4C2C" w:rsidRPr="009C4C2C">
        <w:rPr>
          <w:rFonts w:asciiTheme="majorHAnsi" w:eastAsiaTheme="majorHAnsi" w:hAnsiTheme="majorHAnsi"/>
          <w:sz w:val="19"/>
          <w:szCs w:val="19"/>
        </w:rPr>
        <w:t xml:space="preserve"> are in a minority </w:t>
      </w:r>
    </w:p>
    <w:p w:rsidR="00BB1B0E" w:rsidRPr="009C4C2C" w:rsidRDefault="00BB1B0E" w:rsidP="009C4C2C">
      <w:pPr>
        <w:pStyle w:val="Default"/>
        <w:numPr>
          <w:ilvl w:val="0"/>
          <w:numId w:val="2"/>
        </w:numPr>
        <w:rPr>
          <w:rFonts w:asciiTheme="majorHAnsi" w:eastAsiaTheme="majorHAnsi" w:hAnsiTheme="majorHAnsi" w:hint="eastAsia"/>
          <w:sz w:val="19"/>
          <w:szCs w:val="19"/>
        </w:rPr>
      </w:pPr>
      <w:proofErr w:type="spellStart"/>
      <w:r w:rsidRPr="009C4C2C">
        <w:rPr>
          <w:rFonts w:asciiTheme="majorHAnsi" w:eastAsiaTheme="majorHAnsi" w:hAnsiTheme="majorHAnsi"/>
          <w:sz w:val="19"/>
          <w:szCs w:val="19"/>
        </w:rPr>
        <w:t>GrI</w:t>
      </w:r>
      <w:proofErr w:type="spellEnd"/>
      <w:r w:rsidRPr="009C4C2C">
        <w:rPr>
          <w:rFonts w:asciiTheme="majorHAnsi" w:eastAsiaTheme="majorHAnsi" w:hAnsiTheme="majorHAnsi"/>
          <w:sz w:val="19"/>
          <w:szCs w:val="19"/>
        </w:rPr>
        <w:t xml:space="preserve"> remains the</w:t>
      </w:r>
      <w:r w:rsidR="009C4C2C" w:rsidRPr="009C4C2C">
        <w:rPr>
          <w:rFonts w:asciiTheme="majorHAnsi" w:eastAsiaTheme="majorHAnsi" w:hAnsiTheme="majorHAnsi"/>
          <w:sz w:val="19"/>
          <w:szCs w:val="19"/>
        </w:rPr>
        <w:t xml:space="preserve"> leading reporting framework </w:t>
      </w:r>
    </w:p>
    <w:p w:rsidR="00BB1B0E" w:rsidRPr="009C4C2C" w:rsidRDefault="00BB1B0E" w:rsidP="009C4C2C">
      <w:pPr>
        <w:pStyle w:val="Default"/>
        <w:numPr>
          <w:ilvl w:val="0"/>
          <w:numId w:val="2"/>
        </w:numPr>
        <w:rPr>
          <w:rFonts w:asciiTheme="majorHAnsi" w:eastAsiaTheme="majorHAnsi" w:hAnsiTheme="majorHAnsi" w:hint="eastAsia"/>
          <w:sz w:val="19"/>
          <w:szCs w:val="19"/>
        </w:rPr>
      </w:pPr>
      <w:r w:rsidRPr="009C4C2C">
        <w:rPr>
          <w:rFonts w:asciiTheme="majorHAnsi" w:eastAsiaTheme="majorHAnsi" w:hAnsiTheme="majorHAnsi"/>
          <w:sz w:val="19"/>
          <w:szCs w:val="19"/>
        </w:rPr>
        <w:t>assurance reaches a tipping point among the world’</w:t>
      </w:r>
      <w:r w:rsidR="009C4C2C" w:rsidRPr="009C4C2C">
        <w:rPr>
          <w:rFonts w:asciiTheme="majorHAnsi" w:eastAsiaTheme="majorHAnsi" w:hAnsiTheme="majorHAnsi"/>
          <w:sz w:val="19"/>
          <w:szCs w:val="19"/>
        </w:rPr>
        <w:t xml:space="preserve">s largest companies </w:t>
      </w:r>
    </w:p>
    <w:p w:rsidR="00BB1B0E" w:rsidRPr="009C4C2C" w:rsidRDefault="00BB1B0E" w:rsidP="009C4C2C">
      <w:pPr>
        <w:pStyle w:val="Default"/>
        <w:numPr>
          <w:ilvl w:val="0"/>
          <w:numId w:val="2"/>
        </w:numPr>
        <w:rPr>
          <w:rFonts w:asciiTheme="majorHAnsi" w:eastAsiaTheme="majorHAnsi" w:hAnsiTheme="majorHAnsi" w:hint="eastAsia"/>
          <w:sz w:val="19"/>
          <w:szCs w:val="19"/>
        </w:rPr>
      </w:pPr>
      <w:r w:rsidRPr="009C4C2C">
        <w:rPr>
          <w:rFonts w:asciiTheme="majorHAnsi" w:eastAsiaTheme="majorHAnsi" w:hAnsiTheme="majorHAnsi"/>
          <w:sz w:val="19"/>
          <w:szCs w:val="19"/>
        </w:rPr>
        <w:t>Data quality stabilizes among the world’</w:t>
      </w:r>
      <w:r w:rsidR="009C4C2C" w:rsidRPr="009C4C2C">
        <w:rPr>
          <w:rFonts w:asciiTheme="majorHAnsi" w:eastAsiaTheme="majorHAnsi" w:hAnsiTheme="majorHAnsi"/>
          <w:sz w:val="19"/>
          <w:szCs w:val="19"/>
        </w:rPr>
        <w:t xml:space="preserve">s largest companies </w:t>
      </w:r>
    </w:p>
    <w:p w:rsidR="00BB1B0E" w:rsidRPr="009C4C2C" w:rsidRDefault="00BB1B0E" w:rsidP="00B35511">
      <w:pPr>
        <w:pStyle w:val="Default"/>
        <w:rPr>
          <w:rFonts w:asciiTheme="majorHAnsi" w:eastAsiaTheme="majorHAnsi" w:hAnsiTheme="majorHAnsi" w:hint="eastAsia"/>
          <w:sz w:val="19"/>
          <w:szCs w:val="19"/>
        </w:rPr>
      </w:pPr>
    </w:p>
    <w:p w:rsidR="00BB1B0E" w:rsidRPr="009C4C2C" w:rsidRDefault="00BB1B0E" w:rsidP="00B35511">
      <w:pPr>
        <w:pStyle w:val="Default"/>
        <w:rPr>
          <w:rFonts w:asciiTheme="majorHAnsi" w:eastAsiaTheme="majorHAnsi" w:hAnsiTheme="majorHAnsi" w:hint="eastAsia"/>
          <w:color w:val="008499"/>
          <w:sz w:val="22"/>
          <w:szCs w:val="22"/>
        </w:rPr>
      </w:pPr>
      <w:r w:rsidRPr="009C4C2C">
        <w:rPr>
          <w:rFonts w:asciiTheme="majorHAnsi" w:eastAsiaTheme="majorHAnsi" w:hAnsiTheme="majorHAnsi"/>
          <w:color w:val="008499"/>
          <w:sz w:val="22"/>
          <w:szCs w:val="22"/>
        </w:rPr>
        <w:t xml:space="preserve">Part 2: </w:t>
      </w:r>
      <w:r w:rsidRPr="009C4C2C">
        <w:rPr>
          <w:rFonts w:asciiTheme="majorHAnsi" w:eastAsiaTheme="majorHAnsi" w:hAnsiTheme="majorHAnsi"/>
          <w:b/>
          <w:bCs/>
          <w:color w:val="008499"/>
          <w:sz w:val="22"/>
          <w:szCs w:val="22"/>
        </w:rPr>
        <w:t xml:space="preserve">The quality of reporting among the world’s largest companies </w:t>
      </w:r>
    </w:p>
    <w:p w:rsidR="00BB1B0E" w:rsidRPr="009C4C2C" w:rsidRDefault="009C4C2C" w:rsidP="009C4C2C">
      <w:pPr>
        <w:pStyle w:val="Default"/>
        <w:numPr>
          <w:ilvl w:val="0"/>
          <w:numId w:val="3"/>
        </w:numPr>
        <w:rPr>
          <w:rFonts w:asciiTheme="majorHAnsi" w:eastAsiaTheme="majorHAnsi" w:hAnsiTheme="majorHAnsi" w:hint="eastAsia"/>
          <w:sz w:val="19"/>
          <w:szCs w:val="19"/>
        </w:rPr>
      </w:pPr>
      <w:r w:rsidRPr="009C4C2C">
        <w:rPr>
          <w:rFonts w:asciiTheme="majorHAnsi" w:eastAsiaTheme="majorHAnsi" w:hAnsiTheme="majorHAnsi"/>
          <w:sz w:val="19"/>
          <w:szCs w:val="19"/>
        </w:rPr>
        <w:t xml:space="preserve">Introduction </w:t>
      </w:r>
    </w:p>
    <w:p w:rsidR="00BB1B0E" w:rsidRPr="009C4C2C" w:rsidRDefault="009C4C2C" w:rsidP="009C4C2C">
      <w:pPr>
        <w:pStyle w:val="Default"/>
        <w:numPr>
          <w:ilvl w:val="0"/>
          <w:numId w:val="3"/>
        </w:numPr>
        <w:rPr>
          <w:rFonts w:asciiTheme="majorHAnsi" w:eastAsiaTheme="majorHAnsi" w:hAnsiTheme="majorHAnsi" w:hint="eastAsia"/>
          <w:sz w:val="19"/>
          <w:szCs w:val="19"/>
        </w:rPr>
      </w:pPr>
      <w:r w:rsidRPr="009C4C2C">
        <w:rPr>
          <w:rFonts w:asciiTheme="majorHAnsi" w:eastAsiaTheme="majorHAnsi" w:hAnsiTheme="majorHAnsi"/>
          <w:sz w:val="19"/>
          <w:szCs w:val="19"/>
        </w:rPr>
        <w:t xml:space="preserve">lessons from the leaders </w:t>
      </w:r>
    </w:p>
    <w:p w:rsidR="00BB1B0E" w:rsidRPr="009C4C2C" w:rsidRDefault="00BB1B0E" w:rsidP="009C4C2C">
      <w:pPr>
        <w:pStyle w:val="Default"/>
        <w:ind w:firstLineChars="350" w:firstLine="665"/>
        <w:rPr>
          <w:rFonts w:asciiTheme="majorHAnsi" w:eastAsiaTheme="majorHAnsi" w:hAnsiTheme="majorHAnsi" w:hint="eastAsia"/>
          <w:sz w:val="19"/>
          <w:szCs w:val="19"/>
        </w:rPr>
      </w:pPr>
      <w:r w:rsidRPr="009C4C2C">
        <w:rPr>
          <w:rFonts w:asciiTheme="majorHAnsi" w:eastAsiaTheme="majorHAnsi" w:hAnsiTheme="majorHAnsi"/>
          <w:sz w:val="19"/>
          <w:szCs w:val="19"/>
        </w:rPr>
        <w:t>1: St</w:t>
      </w:r>
      <w:r w:rsidR="009C4C2C" w:rsidRPr="009C4C2C">
        <w:rPr>
          <w:rFonts w:asciiTheme="majorHAnsi" w:eastAsiaTheme="majorHAnsi" w:hAnsiTheme="majorHAnsi"/>
          <w:sz w:val="19"/>
          <w:szCs w:val="19"/>
        </w:rPr>
        <w:t xml:space="preserve">rategy, risk and opportunity </w:t>
      </w:r>
    </w:p>
    <w:p w:rsidR="00BB1B0E" w:rsidRPr="009C4C2C" w:rsidRDefault="009C4C2C" w:rsidP="009C4C2C">
      <w:pPr>
        <w:pStyle w:val="Default"/>
        <w:ind w:firstLineChars="350" w:firstLine="665"/>
        <w:rPr>
          <w:rFonts w:asciiTheme="majorHAnsi" w:eastAsiaTheme="majorHAnsi" w:hAnsiTheme="majorHAnsi" w:hint="eastAsia"/>
          <w:sz w:val="19"/>
          <w:szCs w:val="19"/>
        </w:rPr>
      </w:pPr>
      <w:r w:rsidRPr="009C4C2C">
        <w:rPr>
          <w:rFonts w:asciiTheme="majorHAnsi" w:eastAsiaTheme="majorHAnsi" w:hAnsiTheme="majorHAnsi"/>
          <w:sz w:val="19"/>
          <w:szCs w:val="19"/>
        </w:rPr>
        <w:t>2: Materiality</w:t>
      </w:r>
      <w:r w:rsidR="00BB1B0E" w:rsidRPr="009C4C2C">
        <w:rPr>
          <w:rFonts w:asciiTheme="majorHAnsi" w:eastAsiaTheme="majorHAnsi" w:hAnsiTheme="majorHAnsi"/>
          <w:sz w:val="19"/>
          <w:szCs w:val="19"/>
        </w:rPr>
        <w:t xml:space="preserve"> </w:t>
      </w:r>
    </w:p>
    <w:p w:rsidR="00BB1B0E" w:rsidRPr="009C4C2C" w:rsidRDefault="009C4C2C" w:rsidP="009C4C2C">
      <w:pPr>
        <w:pStyle w:val="Default"/>
        <w:ind w:firstLineChars="350" w:firstLine="665"/>
        <w:rPr>
          <w:rFonts w:asciiTheme="majorHAnsi" w:eastAsiaTheme="majorHAnsi" w:hAnsiTheme="majorHAnsi" w:hint="eastAsia"/>
          <w:sz w:val="19"/>
          <w:szCs w:val="19"/>
        </w:rPr>
      </w:pPr>
      <w:r w:rsidRPr="009C4C2C">
        <w:rPr>
          <w:rFonts w:asciiTheme="majorHAnsi" w:eastAsiaTheme="majorHAnsi" w:hAnsiTheme="majorHAnsi"/>
          <w:sz w:val="19"/>
          <w:szCs w:val="19"/>
        </w:rPr>
        <w:t xml:space="preserve">3: targets and indicators </w:t>
      </w:r>
    </w:p>
    <w:p w:rsidR="00BB1B0E" w:rsidRPr="009C4C2C" w:rsidRDefault="00BB1B0E" w:rsidP="009C4C2C">
      <w:pPr>
        <w:pStyle w:val="Default"/>
        <w:ind w:firstLineChars="373" w:firstLine="709"/>
        <w:rPr>
          <w:rFonts w:asciiTheme="majorHAnsi" w:eastAsiaTheme="majorHAnsi" w:hAnsiTheme="majorHAnsi" w:hint="eastAsia"/>
          <w:sz w:val="19"/>
          <w:szCs w:val="19"/>
        </w:rPr>
      </w:pPr>
      <w:r w:rsidRPr="009C4C2C">
        <w:rPr>
          <w:rFonts w:asciiTheme="majorHAnsi" w:eastAsiaTheme="majorHAnsi" w:hAnsiTheme="majorHAnsi"/>
          <w:sz w:val="19"/>
          <w:szCs w:val="19"/>
        </w:rPr>
        <w:t>4: Suppliers and the va</w:t>
      </w:r>
      <w:r w:rsidR="009C4C2C" w:rsidRPr="009C4C2C">
        <w:rPr>
          <w:rFonts w:asciiTheme="majorHAnsi" w:eastAsiaTheme="majorHAnsi" w:hAnsiTheme="majorHAnsi"/>
          <w:sz w:val="19"/>
          <w:szCs w:val="19"/>
        </w:rPr>
        <w:t xml:space="preserve">lue chain </w:t>
      </w:r>
    </w:p>
    <w:p w:rsidR="00BB1B0E" w:rsidRPr="009C4C2C" w:rsidRDefault="009C4C2C" w:rsidP="009C4C2C">
      <w:pPr>
        <w:pStyle w:val="Default"/>
        <w:ind w:firstLineChars="373" w:firstLine="709"/>
        <w:rPr>
          <w:rFonts w:asciiTheme="majorHAnsi" w:eastAsiaTheme="majorHAnsi" w:hAnsiTheme="majorHAnsi" w:hint="eastAsia"/>
          <w:sz w:val="19"/>
          <w:szCs w:val="19"/>
        </w:rPr>
      </w:pPr>
      <w:r w:rsidRPr="009C4C2C">
        <w:rPr>
          <w:rFonts w:asciiTheme="majorHAnsi" w:eastAsiaTheme="majorHAnsi" w:hAnsiTheme="majorHAnsi"/>
          <w:sz w:val="19"/>
          <w:szCs w:val="19"/>
        </w:rPr>
        <w:t xml:space="preserve">5: Stakeholder engagement </w:t>
      </w:r>
    </w:p>
    <w:p w:rsidR="00BB1B0E" w:rsidRPr="009C4C2C" w:rsidRDefault="009C4C2C" w:rsidP="009C4C2C">
      <w:pPr>
        <w:pStyle w:val="Default"/>
        <w:ind w:firstLineChars="373" w:firstLine="709"/>
        <w:rPr>
          <w:rFonts w:asciiTheme="majorHAnsi" w:eastAsiaTheme="majorHAnsi" w:hAnsiTheme="majorHAnsi" w:hint="eastAsia"/>
          <w:sz w:val="19"/>
          <w:szCs w:val="19"/>
        </w:rPr>
      </w:pPr>
      <w:r w:rsidRPr="009C4C2C">
        <w:rPr>
          <w:rFonts w:asciiTheme="majorHAnsi" w:eastAsiaTheme="majorHAnsi" w:hAnsiTheme="majorHAnsi"/>
          <w:sz w:val="19"/>
          <w:szCs w:val="19"/>
        </w:rPr>
        <w:t xml:space="preserve">6: Governance </w:t>
      </w:r>
      <w:r w:rsidRPr="009C4C2C">
        <w:rPr>
          <w:rFonts w:asciiTheme="majorHAnsi" w:eastAsiaTheme="majorHAnsi" w:hAnsiTheme="majorHAnsi"/>
          <w:color w:val="000000" w:themeColor="text1"/>
          <w:sz w:val="19"/>
          <w:szCs w:val="19"/>
        </w:rPr>
        <w:t>of Cr</w:t>
      </w:r>
      <w:r w:rsidRPr="009C4C2C">
        <w:rPr>
          <w:rFonts w:asciiTheme="majorHAnsi" w:eastAsiaTheme="majorHAnsi" w:hAnsiTheme="majorHAnsi"/>
          <w:sz w:val="19"/>
          <w:szCs w:val="19"/>
        </w:rPr>
        <w:t xml:space="preserve"> </w:t>
      </w:r>
      <w:r w:rsidR="00BB1B0E" w:rsidRPr="009C4C2C">
        <w:rPr>
          <w:rFonts w:asciiTheme="majorHAnsi" w:eastAsiaTheme="majorHAnsi" w:hAnsiTheme="majorHAnsi"/>
          <w:sz w:val="19"/>
          <w:szCs w:val="19"/>
        </w:rPr>
        <w:t xml:space="preserve"> </w:t>
      </w:r>
    </w:p>
    <w:p w:rsidR="00BB1B0E" w:rsidRPr="009C4C2C" w:rsidRDefault="009C4C2C" w:rsidP="009C4C2C">
      <w:pPr>
        <w:pStyle w:val="Default"/>
        <w:ind w:firstLineChars="373" w:firstLine="709"/>
        <w:rPr>
          <w:rFonts w:asciiTheme="majorHAnsi" w:eastAsiaTheme="majorHAnsi" w:hAnsiTheme="majorHAnsi" w:hint="eastAsia"/>
          <w:sz w:val="19"/>
          <w:szCs w:val="19"/>
        </w:rPr>
      </w:pPr>
      <w:r w:rsidRPr="009C4C2C">
        <w:rPr>
          <w:rFonts w:asciiTheme="majorHAnsi" w:eastAsiaTheme="majorHAnsi" w:hAnsiTheme="majorHAnsi"/>
          <w:sz w:val="19"/>
          <w:szCs w:val="19"/>
        </w:rPr>
        <w:t xml:space="preserve">7: transparency and balance </w:t>
      </w:r>
    </w:p>
    <w:p w:rsidR="00B35511" w:rsidRPr="009C4C2C" w:rsidRDefault="00BB1B0E" w:rsidP="009C4C2C">
      <w:pPr>
        <w:pStyle w:val="Default"/>
        <w:numPr>
          <w:ilvl w:val="0"/>
          <w:numId w:val="4"/>
        </w:numPr>
        <w:ind w:left="709" w:hanging="283"/>
        <w:rPr>
          <w:rFonts w:asciiTheme="majorHAnsi" w:eastAsiaTheme="majorHAnsi" w:hAnsiTheme="majorHAnsi"/>
          <w:color w:val="404040" w:themeColor="text1" w:themeTint="BF"/>
          <w:sz w:val="20"/>
          <w:szCs w:val="20"/>
        </w:rPr>
      </w:pPr>
      <w:r w:rsidRPr="009C4C2C">
        <w:rPr>
          <w:rFonts w:asciiTheme="majorHAnsi" w:eastAsiaTheme="majorHAnsi" w:hAnsiTheme="majorHAnsi"/>
          <w:sz w:val="19"/>
          <w:szCs w:val="19"/>
        </w:rPr>
        <w:t>about KPMG’s Climate Change</w:t>
      </w:r>
    </w:p>
    <w:p w:rsidR="00B35511" w:rsidRPr="009C4C2C" w:rsidRDefault="00B35511" w:rsidP="00B35511">
      <w:pPr>
        <w:pStyle w:val="Default"/>
        <w:rPr>
          <w:rFonts w:asciiTheme="majorHAnsi" w:eastAsiaTheme="majorHAnsi" w:hAnsiTheme="majorHAnsi"/>
          <w:color w:val="404040" w:themeColor="text1" w:themeTint="BF"/>
          <w:sz w:val="20"/>
          <w:szCs w:val="20"/>
        </w:rPr>
      </w:pPr>
    </w:p>
    <w:p w:rsidR="00B35511" w:rsidRPr="009C4C2C" w:rsidRDefault="00B35511" w:rsidP="00B35511">
      <w:pPr>
        <w:pStyle w:val="Default"/>
        <w:rPr>
          <w:rFonts w:asciiTheme="majorHAnsi" w:eastAsiaTheme="majorHAnsi" w:hAnsiTheme="majorHAnsi"/>
        </w:rPr>
      </w:pPr>
    </w:p>
    <w:p w:rsidR="00B35511" w:rsidRPr="009C4C2C" w:rsidRDefault="00B35511" w:rsidP="00B35511">
      <w:pPr>
        <w:widowControl/>
        <w:wordWrap/>
        <w:autoSpaceDE/>
        <w:autoSpaceDN/>
        <w:rPr>
          <w:rFonts w:asciiTheme="majorHAnsi" w:eastAsiaTheme="majorHAnsi" w:hAnsiTheme="majorHAnsi"/>
          <w:sz w:val="18"/>
        </w:rPr>
      </w:pPr>
      <w:r w:rsidRPr="009C4C2C">
        <w:rPr>
          <w:rFonts w:asciiTheme="majorHAnsi" w:eastAsiaTheme="majorHAnsi" w:hAnsiTheme="majorHAnsi" w:hint="eastAsia"/>
          <w:sz w:val="18"/>
        </w:rPr>
        <w:lastRenderedPageBreak/>
        <w:t>&lt;보고서는 첨부된 파일을 다운로드 받으시면 됩니다</w:t>
      </w:r>
      <w:proofErr w:type="gramStart"/>
      <w:r w:rsidRPr="009C4C2C">
        <w:rPr>
          <w:rFonts w:asciiTheme="majorHAnsi" w:eastAsiaTheme="majorHAnsi" w:hAnsiTheme="majorHAnsi" w:hint="eastAsia"/>
          <w:sz w:val="18"/>
        </w:rPr>
        <w:t>.&gt;</w:t>
      </w:r>
      <w:proofErr w:type="gramEnd"/>
    </w:p>
    <w:p w:rsidR="00B35511" w:rsidRPr="009C4C2C" w:rsidRDefault="00B35511" w:rsidP="00B35511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바탕"/>
          <w:b/>
          <w:color w:val="365F91" w:themeColor="accent1" w:themeShade="BF"/>
          <w:szCs w:val="20"/>
        </w:rPr>
      </w:pPr>
    </w:p>
    <w:p w:rsidR="00B35511" w:rsidRDefault="00B35511" w:rsidP="00B35511">
      <w:pPr>
        <w:widowControl/>
        <w:wordWrap/>
        <w:autoSpaceDE/>
        <w:autoSpaceDN/>
        <w:spacing w:after="0" w:line="240" w:lineRule="auto"/>
        <w:rPr>
          <w:rFonts w:asciiTheme="minorEastAsia" w:hAnsiTheme="minorEastAsia" w:cs="바탕"/>
          <w:b/>
          <w:color w:val="365F91" w:themeColor="accent1" w:themeShade="BF"/>
          <w:szCs w:val="20"/>
        </w:rPr>
      </w:pPr>
    </w:p>
    <w:p w:rsidR="00B35511" w:rsidRDefault="00BB1B0E" w:rsidP="00B35511">
      <w:pPr>
        <w:widowControl/>
        <w:wordWrap/>
        <w:autoSpaceDE/>
        <w:autoSpaceDN/>
        <w:spacing w:after="0" w:line="240" w:lineRule="auto"/>
        <w:rPr>
          <w:rFonts w:asciiTheme="minorEastAsia" w:hAnsiTheme="minorEastAsia" w:cs="바탕" w:hint="eastAsia"/>
          <w:b/>
          <w:color w:val="365F91" w:themeColor="accent1" w:themeShade="BF"/>
          <w:szCs w:val="20"/>
        </w:rPr>
      </w:pPr>
      <w:r>
        <w:rPr>
          <w:rFonts w:asciiTheme="minorEastAsia" w:hAnsiTheme="minorEastAsia" w:cs="바탕"/>
          <w:b/>
          <w:noProof/>
          <w:color w:val="365F91" w:themeColor="accent1" w:themeShade="BF"/>
          <w:szCs w:val="20"/>
        </w:rPr>
        <w:drawing>
          <wp:inline distT="0" distB="0" distL="0" distR="0">
            <wp:extent cx="1732112" cy="2266916"/>
            <wp:effectExtent l="19050" t="0" r="1438" b="0"/>
            <wp:docPr id="3" name="그림 2" descr="\\공유컴퓨터\공유 문서\최애정\뉴스레터\2014\2월\보고서\Generation_StrandedCarbonAssets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공유컴퓨터\공유 문서\최애정\뉴스레터\2014\2월\보고서\Generation_StrandedCarbonAssets-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071" cy="2266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B0E" w:rsidRPr="00BB1B0E" w:rsidRDefault="00BB1B0E" w:rsidP="00BB1B0E">
      <w:pPr>
        <w:widowControl/>
        <w:wordWrap/>
        <w:autoSpaceDE/>
        <w:autoSpaceDN/>
        <w:spacing w:after="0" w:line="240" w:lineRule="auto"/>
        <w:rPr>
          <w:rFonts w:asciiTheme="minorEastAsia" w:hAnsiTheme="minorEastAsia" w:cs="바탕"/>
          <w:b/>
          <w:color w:val="365F91" w:themeColor="accent1" w:themeShade="BF"/>
          <w:szCs w:val="20"/>
        </w:rPr>
      </w:pPr>
      <w:r w:rsidRPr="00BB1B0E">
        <w:rPr>
          <w:rFonts w:asciiTheme="minorEastAsia" w:hAnsiTheme="minorEastAsia" w:cs="바탕"/>
          <w:b/>
          <w:color w:val="365F91" w:themeColor="accent1" w:themeShade="BF"/>
          <w:szCs w:val="20"/>
        </w:rPr>
        <w:t>Stranded Carbon Assets</w:t>
      </w:r>
    </w:p>
    <w:p w:rsidR="00B35511" w:rsidRPr="003B6CF2" w:rsidRDefault="00BB1B0E" w:rsidP="00BB1B0E">
      <w:pPr>
        <w:widowControl/>
        <w:wordWrap/>
        <w:autoSpaceDE/>
        <w:autoSpaceDN/>
        <w:spacing w:after="0" w:line="240" w:lineRule="auto"/>
        <w:rPr>
          <w:rFonts w:asciiTheme="minorEastAsia" w:hAnsiTheme="minorEastAsia" w:cs="바탕"/>
          <w:color w:val="365F91" w:themeColor="accent1" w:themeShade="BF"/>
          <w:szCs w:val="20"/>
        </w:rPr>
      </w:pPr>
      <w:r w:rsidRPr="00BB1B0E">
        <w:rPr>
          <w:rFonts w:asciiTheme="minorEastAsia" w:hAnsiTheme="minorEastAsia" w:cs="바탕"/>
          <w:b/>
          <w:color w:val="365F91" w:themeColor="accent1" w:themeShade="BF"/>
          <w:szCs w:val="20"/>
        </w:rPr>
        <w:t>Why and How Carbon Risks Should Be Incorporated in Investment Analysis</w:t>
      </w:r>
    </w:p>
    <w:p w:rsidR="00B35511" w:rsidRPr="00AE1830" w:rsidRDefault="00B35511" w:rsidP="00B35511">
      <w:pPr>
        <w:widowControl/>
        <w:wordWrap/>
        <w:autoSpaceDE/>
        <w:autoSpaceDN/>
        <w:spacing w:after="0" w:line="240" w:lineRule="auto"/>
        <w:rPr>
          <w:rFonts w:asciiTheme="minorEastAsia" w:hAnsiTheme="minorEastAsia" w:cs="바탕"/>
          <w:b/>
          <w:color w:val="365F91" w:themeColor="accent1" w:themeShade="BF"/>
          <w:szCs w:val="20"/>
        </w:rPr>
      </w:pPr>
    </w:p>
    <w:p w:rsidR="00B35511" w:rsidRDefault="00B35511" w:rsidP="00B35511">
      <w:pPr>
        <w:spacing w:after="0" w:line="240" w:lineRule="atLeast"/>
        <w:rPr>
          <w:rFonts w:asciiTheme="minorEastAsia" w:hAnsiTheme="minorEastAsia" w:cs="바탕"/>
          <w:color w:val="365F91" w:themeColor="accent1" w:themeShade="BF"/>
          <w:szCs w:val="20"/>
        </w:rPr>
      </w:pPr>
      <w:r w:rsidRPr="00BF43BF">
        <w:rPr>
          <w:rFonts w:asciiTheme="minorEastAsia" w:hAnsiTheme="minorEastAsia" w:cs="바탕" w:hint="eastAsia"/>
          <w:color w:val="365F91" w:themeColor="accent1" w:themeShade="BF"/>
          <w:szCs w:val="20"/>
        </w:rPr>
        <w:t xml:space="preserve">발행처: </w:t>
      </w:r>
      <w:r w:rsidR="00BB1B0E">
        <w:rPr>
          <w:rFonts w:asciiTheme="minorEastAsia" w:hAnsiTheme="minorEastAsia" w:cs="바탕" w:hint="eastAsia"/>
          <w:color w:val="365F91" w:themeColor="accent1" w:themeShade="BF"/>
          <w:szCs w:val="20"/>
        </w:rPr>
        <w:t>Generation foundation</w:t>
      </w:r>
    </w:p>
    <w:p w:rsidR="00962CE3" w:rsidRDefault="00962CE3" w:rsidP="00E532DB">
      <w:pPr>
        <w:spacing w:after="0" w:line="240" w:lineRule="atLeast"/>
        <w:rPr>
          <w:rFonts w:ascii="Arial" w:hAnsi="Arial" w:cs="Arial"/>
          <w:color w:val="404040" w:themeColor="text1" w:themeTint="BF"/>
        </w:rPr>
      </w:pPr>
    </w:p>
    <w:p w:rsidR="00917F21" w:rsidRPr="00B35511" w:rsidRDefault="00917F21" w:rsidP="00917F21">
      <w:pPr>
        <w:pStyle w:val="Default"/>
        <w:rPr>
          <w:rFonts w:ascii="Calibri" w:eastAsiaTheme="majorHAnsi" w:hAnsi="Calibri"/>
          <w:b/>
          <w:color w:val="365F91" w:themeColor="accent1" w:themeShade="BF"/>
          <w:szCs w:val="20"/>
        </w:rPr>
      </w:pPr>
      <w:r w:rsidRPr="00B35511">
        <w:rPr>
          <w:rFonts w:ascii="Calibri" w:eastAsiaTheme="majorHAnsi" w:hAnsi="Calibri"/>
          <w:b/>
          <w:color w:val="365F91" w:themeColor="accent1" w:themeShade="BF"/>
          <w:szCs w:val="20"/>
        </w:rPr>
        <w:t>Executive Summary</w:t>
      </w:r>
    </w:p>
    <w:p w:rsidR="00917F21" w:rsidRPr="00BB1B0E" w:rsidRDefault="00BB1B0E" w:rsidP="00BB1B0E">
      <w:pPr>
        <w:wordWrap/>
        <w:adjustRightInd w:val="0"/>
        <w:spacing w:after="0" w:line="240" w:lineRule="auto"/>
        <w:jc w:val="left"/>
        <w:rPr>
          <w:rFonts w:ascii="Calibri" w:eastAsia="StoneSansITCTTMedium" w:hAnsi="Calibri" w:cs="StoneSansITCTTMedium"/>
          <w:color w:val="404040" w:themeColor="text1" w:themeTint="BF"/>
          <w:kern w:val="0"/>
          <w:szCs w:val="20"/>
        </w:rPr>
      </w:pPr>
      <w:r w:rsidRPr="00BB1B0E">
        <w:rPr>
          <w:rFonts w:ascii="Calibri" w:eastAsia="StoneSansITCTTMedium" w:hAnsi="Calibri" w:cs="StoneSansITCTTMedium"/>
          <w:color w:val="404040" w:themeColor="text1" w:themeTint="BF"/>
          <w:kern w:val="0"/>
          <w:szCs w:val="20"/>
        </w:rPr>
        <w:t>This paper highlights the risks associated with investing in carbon-intensive assets, and explains why</w:t>
      </w:r>
      <w:r w:rsidRPr="00BB1B0E">
        <w:rPr>
          <w:rFonts w:ascii="Calibri" w:eastAsia="StoneSansITCTTMedium" w:hAnsi="Calibri" w:cs="StoneSansITCTTMedium" w:hint="eastAsia"/>
          <w:color w:val="404040" w:themeColor="text1" w:themeTint="BF"/>
          <w:kern w:val="0"/>
          <w:szCs w:val="20"/>
        </w:rPr>
        <w:t xml:space="preserve"> </w:t>
      </w:r>
      <w:r w:rsidRPr="00BB1B0E">
        <w:rPr>
          <w:rFonts w:ascii="Calibri" w:eastAsia="StoneSansITCTTMedium" w:hAnsi="Calibri" w:cs="StoneSansITCTTMedium"/>
          <w:color w:val="404040" w:themeColor="text1" w:themeTint="BF"/>
          <w:kern w:val="0"/>
          <w:szCs w:val="20"/>
        </w:rPr>
        <w:t>we feel strongly that the integration of carbon-risk assessment in the investment process is of greater</w:t>
      </w:r>
      <w:r w:rsidRPr="00BB1B0E">
        <w:rPr>
          <w:rFonts w:ascii="Calibri" w:eastAsia="StoneSansITCTTMedium" w:hAnsi="Calibri" w:cs="StoneSansITCTTMedium" w:hint="eastAsia"/>
          <w:color w:val="404040" w:themeColor="text1" w:themeTint="BF"/>
          <w:kern w:val="0"/>
          <w:szCs w:val="20"/>
        </w:rPr>
        <w:t xml:space="preserve"> </w:t>
      </w:r>
      <w:r w:rsidRPr="00BB1B0E">
        <w:rPr>
          <w:rFonts w:ascii="Calibri" w:eastAsia="StoneSansITCTTMedium" w:hAnsi="Calibri" w:cs="StoneSansITCTTMedium"/>
          <w:color w:val="404040" w:themeColor="text1" w:themeTint="BF"/>
          <w:kern w:val="0"/>
          <w:szCs w:val="20"/>
        </w:rPr>
        <w:t>relevance today than ever before. As the case for curbing carbon emissions continues to gain support on</w:t>
      </w:r>
      <w:r w:rsidRPr="00BB1B0E">
        <w:rPr>
          <w:rFonts w:ascii="Calibri" w:eastAsia="StoneSansITCTTMedium" w:hAnsi="Calibri" w:cs="StoneSansITCTTMedium" w:hint="eastAsia"/>
          <w:color w:val="404040" w:themeColor="text1" w:themeTint="BF"/>
          <w:kern w:val="0"/>
          <w:szCs w:val="20"/>
        </w:rPr>
        <w:t xml:space="preserve"> </w:t>
      </w:r>
      <w:r w:rsidRPr="00BB1B0E">
        <w:rPr>
          <w:rFonts w:ascii="Calibri" w:eastAsia="StoneSansITCTTMedium" w:hAnsi="Calibri" w:cs="StoneSansITCTTMedium"/>
          <w:color w:val="404040" w:themeColor="text1" w:themeTint="BF"/>
          <w:kern w:val="0"/>
          <w:szCs w:val="20"/>
        </w:rPr>
        <w:t>economic and scientific grounds, the commercial viability of carbon-intensive assets – particularly fossil</w:t>
      </w:r>
      <w:r w:rsidRPr="00BB1B0E">
        <w:rPr>
          <w:rFonts w:ascii="Calibri" w:eastAsia="StoneSansITCTTMedium" w:hAnsi="Calibri" w:cs="StoneSansITCTTMedium" w:hint="eastAsia"/>
          <w:color w:val="404040" w:themeColor="text1" w:themeTint="BF"/>
          <w:kern w:val="0"/>
          <w:szCs w:val="20"/>
        </w:rPr>
        <w:t xml:space="preserve"> </w:t>
      </w:r>
      <w:r w:rsidRPr="00BB1B0E">
        <w:rPr>
          <w:rFonts w:ascii="Calibri" w:eastAsia="StoneSansITCTTMedium" w:hAnsi="Calibri" w:cs="StoneSansITCTTMedium"/>
          <w:color w:val="404040" w:themeColor="text1" w:themeTint="BF"/>
          <w:kern w:val="0"/>
          <w:szCs w:val="20"/>
        </w:rPr>
        <w:t>fuels – will be increasingly threatened, creating stranded carbon assets. For the purposes of this paper, we</w:t>
      </w:r>
      <w:r w:rsidRPr="00BB1B0E">
        <w:rPr>
          <w:rFonts w:ascii="Calibri" w:eastAsia="StoneSansITCTTMedium" w:hAnsi="Calibri" w:cs="StoneSansITCTTMedium" w:hint="eastAsia"/>
          <w:color w:val="404040" w:themeColor="text1" w:themeTint="BF"/>
          <w:kern w:val="0"/>
          <w:szCs w:val="20"/>
        </w:rPr>
        <w:t xml:space="preserve"> </w:t>
      </w:r>
      <w:r w:rsidRPr="00BB1B0E">
        <w:rPr>
          <w:rFonts w:ascii="Calibri" w:eastAsia="StoneSansITCTTMedium" w:hAnsi="Calibri" w:cs="StoneSansITCTTMedium"/>
          <w:color w:val="404040" w:themeColor="text1" w:themeTint="BF"/>
          <w:kern w:val="0"/>
          <w:szCs w:val="20"/>
        </w:rPr>
        <w:t>define a stranded asset as an asset which loses significant economic value well ahead of its anticipated</w:t>
      </w:r>
      <w:r w:rsidRPr="00BB1B0E">
        <w:rPr>
          <w:rFonts w:ascii="Calibri" w:eastAsia="StoneSansITCTTMedium" w:hAnsi="Calibri" w:cs="StoneSansITCTTMedium" w:hint="eastAsia"/>
          <w:color w:val="404040" w:themeColor="text1" w:themeTint="BF"/>
          <w:kern w:val="0"/>
          <w:szCs w:val="20"/>
        </w:rPr>
        <w:t xml:space="preserve"> </w:t>
      </w:r>
      <w:r w:rsidRPr="00BB1B0E">
        <w:rPr>
          <w:rFonts w:ascii="Calibri" w:eastAsia="StoneSansITCTTMedium" w:hAnsi="Calibri" w:cs="StoneSansITCTTMedium"/>
          <w:color w:val="404040" w:themeColor="text1" w:themeTint="BF"/>
          <w:kern w:val="0"/>
          <w:szCs w:val="20"/>
        </w:rPr>
        <w:t>useful life, as a result of changes in legislation, regulation, market forces, disruptive innovation, societal</w:t>
      </w:r>
      <w:r w:rsidRPr="00BB1B0E">
        <w:rPr>
          <w:rFonts w:ascii="Calibri" w:eastAsia="StoneSansITCTTMedium" w:hAnsi="Calibri" w:cs="StoneSansITCTTMedium" w:hint="eastAsia"/>
          <w:color w:val="404040" w:themeColor="text1" w:themeTint="BF"/>
          <w:kern w:val="0"/>
          <w:szCs w:val="20"/>
        </w:rPr>
        <w:t xml:space="preserve"> </w:t>
      </w:r>
      <w:r w:rsidRPr="00BB1B0E">
        <w:rPr>
          <w:rFonts w:ascii="Calibri" w:eastAsia="StoneSansITCTTMedium" w:hAnsi="Calibri" w:cs="StoneSansITCTTMedium"/>
          <w:color w:val="404040" w:themeColor="text1" w:themeTint="BF"/>
          <w:kern w:val="0"/>
          <w:szCs w:val="20"/>
        </w:rPr>
        <w:t>norms, or environmental shocks.</w:t>
      </w:r>
    </w:p>
    <w:p w:rsidR="00917F21" w:rsidRDefault="00917F21" w:rsidP="00917F21">
      <w:pPr>
        <w:wordWrap/>
        <w:adjustRightInd w:val="0"/>
        <w:spacing w:after="0" w:line="240" w:lineRule="auto"/>
        <w:jc w:val="left"/>
        <w:rPr>
          <w:rFonts w:ascii="Calibri" w:eastAsia="StoneSansStd-Mediu1" w:hAnsi="Calibri" w:cs="StoneSansStd-Mediu1"/>
          <w:b/>
          <w:color w:val="365F91" w:themeColor="accent1" w:themeShade="BF"/>
          <w:kern w:val="0"/>
          <w:sz w:val="24"/>
          <w:szCs w:val="20"/>
        </w:rPr>
      </w:pPr>
    </w:p>
    <w:p w:rsidR="00917F21" w:rsidRPr="00917F21" w:rsidRDefault="00917F21" w:rsidP="00917F21">
      <w:pPr>
        <w:wordWrap/>
        <w:adjustRightInd w:val="0"/>
        <w:spacing w:after="0" w:line="240" w:lineRule="auto"/>
        <w:jc w:val="left"/>
        <w:rPr>
          <w:rFonts w:ascii="Calibri" w:eastAsia="StoneSansStd-Mediu1" w:hAnsi="Calibri" w:cs="StoneSansStd-Mediu1"/>
          <w:b/>
          <w:color w:val="365F91" w:themeColor="accent1" w:themeShade="BF"/>
          <w:kern w:val="0"/>
          <w:sz w:val="24"/>
          <w:szCs w:val="20"/>
        </w:rPr>
      </w:pPr>
      <w:r w:rsidRPr="00917F21">
        <w:rPr>
          <w:rFonts w:ascii="Calibri" w:eastAsia="StoneSansStd-Mediu1" w:hAnsi="Calibri" w:cs="StoneSansStd-Mediu1"/>
          <w:b/>
          <w:color w:val="365F91" w:themeColor="accent1" w:themeShade="BF"/>
          <w:kern w:val="0"/>
          <w:sz w:val="24"/>
          <w:szCs w:val="20"/>
        </w:rPr>
        <w:t>Contents</w:t>
      </w:r>
    </w:p>
    <w:p w:rsidR="00BB1B0E" w:rsidRDefault="00BB1B0E" w:rsidP="00BB1B0E">
      <w:pPr>
        <w:widowControl/>
        <w:wordWrap/>
        <w:autoSpaceDE/>
        <w:autoSpaceDN/>
        <w:rPr>
          <w:rFonts w:ascii="Calibri" w:hAnsi="Calibri" w:hint="eastAsia"/>
          <w:color w:val="404040" w:themeColor="text1" w:themeTint="BF"/>
          <w:szCs w:val="20"/>
        </w:rPr>
      </w:pPr>
      <w:r>
        <w:rPr>
          <w:rFonts w:ascii="Calibri" w:hAnsi="Calibri"/>
          <w:color w:val="404040" w:themeColor="text1" w:themeTint="BF"/>
          <w:szCs w:val="20"/>
        </w:rPr>
        <w:t xml:space="preserve">1. Executive Summary </w:t>
      </w:r>
    </w:p>
    <w:p w:rsidR="00BB1B0E" w:rsidRPr="00BB1B0E" w:rsidRDefault="00BB1B0E" w:rsidP="00BB1B0E">
      <w:pPr>
        <w:widowControl/>
        <w:wordWrap/>
        <w:autoSpaceDE/>
        <w:autoSpaceDN/>
        <w:rPr>
          <w:rFonts w:ascii="Calibri" w:hAnsi="Calibri"/>
          <w:color w:val="404040" w:themeColor="text1" w:themeTint="BF"/>
          <w:szCs w:val="20"/>
        </w:rPr>
      </w:pPr>
      <w:r w:rsidRPr="00BB1B0E">
        <w:rPr>
          <w:rFonts w:ascii="Calibri" w:hAnsi="Calibri"/>
          <w:color w:val="404040" w:themeColor="text1" w:themeTint="BF"/>
          <w:szCs w:val="20"/>
        </w:rPr>
        <w:t>2. Drivers of Change: Ri</w:t>
      </w:r>
      <w:r>
        <w:rPr>
          <w:rFonts w:ascii="Calibri" w:hAnsi="Calibri"/>
          <w:color w:val="404040" w:themeColor="text1" w:themeTint="BF"/>
          <w:szCs w:val="20"/>
        </w:rPr>
        <w:t xml:space="preserve">sks to Carbon-Intensive Assets </w:t>
      </w:r>
    </w:p>
    <w:p w:rsidR="00BB1B0E" w:rsidRPr="00BB1B0E" w:rsidRDefault="00BB1B0E" w:rsidP="00BB1B0E">
      <w:pPr>
        <w:widowControl/>
        <w:wordWrap/>
        <w:autoSpaceDE/>
        <w:autoSpaceDN/>
        <w:rPr>
          <w:rFonts w:ascii="Calibri" w:hAnsi="Calibri"/>
          <w:color w:val="404040" w:themeColor="text1" w:themeTint="BF"/>
          <w:szCs w:val="20"/>
        </w:rPr>
      </w:pPr>
      <w:r w:rsidRPr="00BB1B0E">
        <w:rPr>
          <w:rFonts w:ascii="Calibri" w:hAnsi="Calibri"/>
          <w:color w:val="404040" w:themeColor="text1" w:themeTint="BF"/>
          <w:szCs w:val="20"/>
        </w:rPr>
        <w:t>3. Fa</w:t>
      </w:r>
      <w:r>
        <w:rPr>
          <w:rFonts w:ascii="Calibri" w:hAnsi="Calibri"/>
          <w:color w:val="404040" w:themeColor="text1" w:themeTint="BF"/>
          <w:szCs w:val="20"/>
        </w:rPr>
        <w:t xml:space="preserve">lse Comfort of the Status Quo </w:t>
      </w:r>
    </w:p>
    <w:p w:rsidR="00BB1B0E" w:rsidRPr="00BB1B0E" w:rsidRDefault="00BB1B0E" w:rsidP="00BB1B0E">
      <w:pPr>
        <w:widowControl/>
        <w:wordWrap/>
        <w:autoSpaceDE/>
        <w:autoSpaceDN/>
        <w:rPr>
          <w:rFonts w:ascii="Calibri" w:hAnsi="Calibri"/>
          <w:color w:val="404040" w:themeColor="text1" w:themeTint="BF"/>
          <w:szCs w:val="20"/>
        </w:rPr>
      </w:pPr>
      <w:r>
        <w:rPr>
          <w:rFonts w:ascii="Calibri" w:hAnsi="Calibri"/>
          <w:color w:val="404040" w:themeColor="text1" w:themeTint="BF"/>
          <w:szCs w:val="20"/>
        </w:rPr>
        <w:t xml:space="preserve">4. Investor Actions </w:t>
      </w:r>
    </w:p>
    <w:p w:rsidR="00BB1B0E" w:rsidRPr="00BB1B0E" w:rsidRDefault="00BB1B0E" w:rsidP="00BB1B0E">
      <w:pPr>
        <w:widowControl/>
        <w:wordWrap/>
        <w:autoSpaceDE/>
        <w:autoSpaceDN/>
        <w:rPr>
          <w:rFonts w:ascii="Calibri" w:hAnsi="Calibri"/>
          <w:color w:val="404040" w:themeColor="text1" w:themeTint="BF"/>
          <w:szCs w:val="20"/>
        </w:rPr>
      </w:pPr>
      <w:r>
        <w:rPr>
          <w:rFonts w:ascii="Calibri" w:hAnsi="Calibri"/>
          <w:color w:val="404040" w:themeColor="text1" w:themeTint="BF"/>
          <w:szCs w:val="20"/>
        </w:rPr>
        <w:t xml:space="preserve">5. Conclusion </w:t>
      </w:r>
    </w:p>
    <w:p w:rsidR="00BB1B0E" w:rsidRPr="00BB1B0E" w:rsidRDefault="00BB1B0E" w:rsidP="00BB1B0E">
      <w:pPr>
        <w:widowControl/>
        <w:wordWrap/>
        <w:autoSpaceDE/>
        <w:autoSpaceDN/>
        <w:rPr>
          <w:rFonts w:ascii="Calibri" w:hAnsi="Calibri"/>
          <w:color w:val="404040" w:themeColor="text1" w:themeTint="BF"/>
          <w:szCs w:val="20"/>
        </w:rPr>
      </w:pPr>
      <w:r w:rsidRPr="00BB1B0E">
        <w:rPr>
          <w:rFonts w:ascii="Calibri" w:hAnsi="Calibri"/>
          <w:color w:val="404040" w:themeColor="text1" w:themeTint="BF"/>
          <w:szCs w:val="20"/>
        </w:rPr>
        <w:t>Appendix</w:t>
      </w:r>
    </w:p>
    <w:p w:rsidR="00BB1B0E" w:rsidRPr="00BB1B0E" w:rsidRDefault="00BB1B0E" w:rsidP="00BB1B0E">
      <w:pPr>
        <w:widowControl/>
        <w:wordWrap/>
        <w:autoSpaceDE/>
        <w:autoSpaceDN/>
        <w:ind w:firstLineChars="50" w:firstLine="100"/>
        <w:rPr>
          <w:rFonts w:ascii="Calibri" w:hAnsi="Calibri"/>
          <w:color w:val="404040" w:themeColor="text1" w:themeTint="BF"/>
          <w:szCs w:val="20"/>
        </w:rPr>
      </w:pPr>
      <w:r>
        <w:rPr>
          <w:rFonts w:ascii="Calibri" w:hAnsi="Calibri"/>
          <w:color w:val="404040" w:themeColor="text1" w:themeTint="BF"/>
          <w:szCs w:val="20"/>
        </w:rPr>
        <w:t xml:space="preserve">A. Defining Stranded Assets </w:t>
      </w:r>
    </w:p>
    <w:p w:rsidR="00BB1B0E" w:rsidRPr="00BB1B0E" w:rsidRDefault="00BB1B0E" w:rsidP="00BB1B0E">
      <w:pPr>
        <w:widowControl/>
        <w:wordWrap/>
        <w:autoSpaceDE/>
        <w:autoSpaceDN/>
        <w:ind w:firstLineChars="50" w:firstLine="100"/>
        <w:rPr>
          <w:rFonts w:ascii="Calibri" w:hAnsi="Calibri"/>
          <w:color w:val="404040" w:themeColor="text1" w:themeTint="BF"/>
          <w:szCs w:val="20"/>
        </w:rPr>
      </w:pPr>
      <w:r>
        <w:rPr>
          <w:rFonts w:ascii="Calibri" w:hAnsi="Calibri"/>
          <w:color w:val="404040" w:themeColor="text1" w:themeTint="BF"/>
          <w:szCs w:val="20"/>
        </w:rPr>
        <w:t xml:space="preserve">B. The Carbon Budget </w:t>
      </w:r>
    </w:p>
    <w:p w:rsidR="009B653C" w:rsidRDefault="00BB1B0E" w:rsidP="00BB1B0E">
      <w:pPr>
        <w:widowControl/>
        <w:wordWrap/>
        <w:autoSpaceDE/>
        <w:autoSpaceDN/>
        <w:ind w:firstLineChars="50" w:firstLine="100"/>
        <w:rPr>
          <w:rFonts w:ascii="Calibri" w:hAnsi="Calibri" w:hint="eastAsia"/>
          <w:color w:val="404040" w:themeColor="text1" w:themeTint="BF"/>
          <w:szCs w:val="20"/>
        </w:rPr>
      </w:pPr>
      <w:r w:rsidRPr="00BB1B0E">
        <w:rPr>
          <w:rFonts w:ascii="Calibri" w:hAnsi="Calibri"/>
          <w:color w:val="404040" w:themeColor="text1" w:themeTint="BF"/>
          <w:szCs w:val="20"/>
        </w:rPr>
        <w:t>C. Flawed Market Assumptions: CCS &amp; Natural Gas</w:t>
      </w:r>
    </w:p>
    <w:p w:rsidR="00917F21" w:rsidRPr="00953413" w:rsidRDefault="00953413" w:rsidP="00917F21">
      <w:pPr>
        <w:widowControl/>
        <w:wordWrap/>
        <w:autoSpaceDE/>
        <w:autoSpaceDN/>
        <w:rPr>
          <w:sz w:val="18"/>
        </w:rPr>
      </w:pPr>
      <w:r w:rsidRPr="00953413">
        <w:rPr>
          <w:sz w:val="18"/>
        </w:rPr>
        <w:lastRenderedPageBreak/>
        <w:t>&lt;보고서는 첨부된 파일을 다운로드 받으시면 됩니다</w:t>
      </w:r>
      <w:proofErr w:type="gramStart"/>
      <w:r w:rsidRPr="00953413">
        <w:rPr>
          <w:sz w:val="18"/>
        </w:rPr>
        <w:t>.&gt;</w:t>
      </w:r>
      <w:proofErr w:type="gramEnd"/>
    </w:p>
    <w:sectPr w:rsidR="00917F21" w:rsidRPr="00953413" w:rsidSect="000576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4C2C" w:rsidRDefault="009C4C2C" w:rsidP="007C5CAE">
      <w:pPr>
        <w:spacing w:after="0" w:line="240" w:lineRule="auto"/>
      </w:pPr>
      <w:r>
        <w:separator/>
      </w:r>
    </w:p>
  </w:endnote>
  <w:endnote w:type="continuationSeparator" w:id="0">
    <w:p w:rsidR="009C4C2C" w:rsidRDefault="009C4C2C" w:rsidP="007C5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Interstate Bold">
    <w:altName w:val="굴림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toneSansITCTTMedium">
    <w:altName w:val="한컴바탕확장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StoneSansStd-Mediu1">
    <w:altName w:val="한컴바탕확장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4C2C" w:rsidRDefault="009C4C2C" w:rsidP="007C5CAE">
      <w:pPr>
        <w:spacing w:after="0" w:line="240" w:lineRule="auto"/>
      </w:pPr>
      <w:r>
        <w:separator/>
      </w:r>
    </w:p>
  </w:footnote>
  <w:footnote w:type="continuationSeparator" w:id="0">
    <w:p w:rsidR="009C4C2C" w:rsidRDefault="009C4C2C" w:rsidP="007C5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228DE"/>
    <w:multiLevelType w:val="hybridMultilevel"/>
    <w:tmpl w:val="1AE8B0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C147D87"/>
    <w:multiLevelType w:val="hybridMultilevel"/>
    <w:tmpl w:val="E2BA92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73A28A4"/>
    <w:multiLevelType w:val="hybridMultilevel"/>
    <w:tmpl w:val="BBDA15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59485E35"/>
    <w:multiLevelType w:val="hybridMultilevel"/>
    <w:tmpl w:val="C688E65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69203370"/>
    <w:multiLevelType w:val="hybridMultilevel"/>
    <w:tmpl w:val="2E4ED2C4"/>
    <w:lvl w:ilvl="0" w:tplc="04090001">
      <w:start w:val="1"/>
      <w:numFmt w:val="bullet"/>
      <w:lvlText w:val=""/>
      <w:lvlJc w:val="left"/>
      <w:pPr>
        <w:ind w:left="9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32DB"/>
    <w:rsid w:val="00026E57"/>
    <w:rsid w:val="000576D0"/>
    <w:rsid w:val="00164075"/>
    <w:rsid w:val="002A76B4"/>
    <w:rsid w:val="002D50FA"/>
    <w:rsid w:val="00403915"/>
    <w:rsid w:val="007C5CAE"/>
    <w:rsid w:val="00917F21"/>
    <w:rsid w:val="00953413"/>
    <w:rsid w:val="00962CE3"/>
    <w:rsid w:val="00991A3A"/>
    <w:rsid w:val="009A1302"/>
    <w:rsid w:val="009B653C"/>
    <w:rsid w:val="009C4C2C"/>
    <w:rsid w:val="00AB4D14"/>
    <w:rsid w:val="00AE52A5"/>
    <w:rsid w:val="00B35511"/>
    <w:rsid w:val="00BB1B0E"/>
    <w:rsid w:val="00E532DB"/>
    <w:rsid w:val="00E66EFE"/>
    <w:rsid w:val="00EE16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76D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532D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532DB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7C5CA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7C5CAE"/>
  </w:style>
  <w:style w:type="paragraph" w:styleId="a5">
    <w:name w:val="footer"/>
    <w:basedOn w:val="a"/>
    <w:link w:val="Char1"/>
    <w:uiPriority w:val="99"/>
    <w:semiHidden/>
    <w:unhideWhenUsed/>
    <w:rsid w:val="007C5CA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7C5CAE"/>
  </w:style>
  <w:style w:type="character" w:styleId="a6">
    <w:name w:val="Hyperlink"/>
    <w:basedOn w:val="a0"/>
    <w:uiPriority w:val="99"/>
    <w:unhideWhenUsed/>
    <w:rsid w:val="00AE52A5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B35511"/>
    <w:pPr>
      <w:ind w:leftChars="400" w:left="800"/>
    </w:pPr>
  </w:style>
  <w:style w:type="paragraph" w:customStyle="1" w:styleId="Default">
    <w:name w:val="Default"/>
    <w:rsid w:val="00B35511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Interstate Bold" w:eastAsia="Interstate Bold" w:cs="Interstate Bold"/>
      <w:color w:val="00000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5AA679-849B-45B3-B9D9-5DCEAD872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Choco</dc:creator>
  <cp:keywords/>
  <dc:description/>
  <cp:lastModifiedBy>.</cp:lastModifiedBy>
  <cp:revision>10</cp:revision>
  <dcterms:created xsi:type="dcterms:W3CDTF">2012-07-20T07:52:00Z</dcterms:created>
  <dcterms:modified xsi:type="dcterms:W3CDTF">2014-02-17T06:40:00Z</dcterms:modified>
</cp:coreProperties>
</file>