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for</w:t>
      </w:r>
      <w:r>
        <w:t xml:space="preserve"> </w:t>
      </w:r>
      <w:r>
        <w:t xml:space="preserve">Supply</w:t>
      </w:r>
      <w:r>
        <w:t xml:space="preserve"> </w:t>
      </w:r>
      <w:r>
        <w:t xml:space="preserve">Chain</w:t>
      </w:r>
    </w:p>
    <w:p>
      <w:pPr>
        <w:pStyle w:val="FirstParagraph"/>
      </w:pPr>
      <w:r>
        <w:t xml:space="preserve">The following PDF is an accumulated knowledge corpus of all that I have learned working in the Supply Chain specifically in retail. I will address various resources to give you the ability to further your knowledge without having to do the work yourself. Much of what is important in Supply Chain will be forecasts, and understanding risk involved in everything in the supply chain.</w:t>
      </w:r>
    </w:p>
    <w:p>
      <w:pPr>
        <w:pStyle w:val="Heading3"/>
      </w:pPr>
      <w:bookmarkStart w:id="20" w:name="moving-average"/>
      <w:r>
        <w:t xml:space="preserve">Moving Average</w:t>
      </w:r>
      <w:bookmarkEnd w:id="20"/>
    </w:p>
    <w:p>
      <w:pPr>
        <w:pStyle w:val="FirstParagraph"/>
      </w:pPr>
      <w:r>
        <w:t xml:space="preserve">The average demand during the last n periods.</w:t>
      </w:r>
    </w:p>
    <w:p>
      <w:pPr>
        <w:pStyle w:val="BodyText"/>
      </w:pPr>
      <m:oMathPara>
        <m:oMathParaPr>
          <m:jc m:val="center"/>
        </m:oMathParaPr>
        <m:oMath>
          <m:sSub>
            <m:e>
              <m:r>
                <m:t>f</m:t>
              </m:r>
            </m:e>
            <m:sub>
              <m:r>
                <m:t>n</m:t>
              </m:r>
            </m:sub>
          </m:sSub>
          <m:r>
            <m:t>=</m:t>
          </m:r>
          <m:f>
            <m:fPr>
              <m:type m:val="bar"/>
            </m:fPr>
            <m:num>
              <m:r>
                <m:t>1</m:t>
              </m:r>
            </m:num>
            <m:den>
              <m:r>
                <m:t>n</m:t>
              </m:r>
            </m:den>
          </m:f>
          <m:nary>
            <m:naryPr>
              <m:chr m:val="∑"/>
              <m:limLoc m:val="undOvr"/>
              <m:subHide m:val="0"/>
              <m:supHide m:val="0"/>
            </m:naryPr>
            <m:sub>
              <m:r>
                <m:t>i</m:t>
              </m:r>
              <m:r>
                <m:t>=</m:t>
              </m:r>
              <m:r>
                <m:t>1</m:t>
              </m:r>
            </m:sub>
            <m:sup>
              <m:r>
                <m:t>n</m:t>
              </m:r>
            </m:sup>
            <m:e>
              <m:sSub>
                <m:e>
                  <m:r>
                    <m:t>d</m:t>
                  </m:r>
                </m:e>
                <m:sub>
                  <m:r>
                    <m:t>t</m:t>
                  </m:r>
                  <m:r>
                    <m:t>−</m:t>
                  </m:r>
                  <m:r>
                    <m:t>i</m:t>
                  </m:r>
                </m:sub>
              </m:sSub>
            </m:e>
          </m:nary>
        </m:oMath>
      </m:oMathPara>
    </w:p>
    <w:p>
      <w:pPr>
        <w:pStyle w:val="FirstParagraph"/>
      </w:pPr>
      <w:r>
        <w:t xml:space="preserve">Where:</w:t>
      </w:r>
    </w:p>
    <w:p>
      <w:pPr>
        <w:pStyle w:val="Compact"/>
        <w:numPr>
          <w:numId w:val="1001"/>
          <w:ilvl w:val="0"/>
        </w:numPr>
      </w:pPr>
      <m:oMath>
        <m:r>
          <m:t>n</m:t>
        </m:r>
      </m:oMath>
      <w:r>
        <w:t xml:space="preserve"> </w:t>
      </w:r>
      <w:r>
        <w:t xml:space="preserve">is the number of periods we take the average of</w:t>
      </w:r>
    </w:p>
    <w:p>
      <w:pPr>
        <w:pStyle w:val="Compact"/>
        <w:numPr>
          <w:numId w:val="1001"/>
          <w:ilvl w:val="0"/>
        </w:numPr>
      </w:pPr>
      <m:oMath>
        <m:sSub>
          <m:e>
            <m:r>
              <m:t>d</m:t>
            </m:r>
          </m:e>
          <m:sub>
            <m:r>
              <m:t>t</m:t>
            </m:r>
          </m:sub>
        </m:sSub>
      </m:oMath>
      <w:r>
        <w:t xml:space="preserve"> </w:t>
      </w:r>
      <w:r>
        <w:t xml:space="preserve">the demand we observe during period</w:t>
      </w:r>
      <w:r>
        <w:t xml:space="preserve"> </w:t>
      </w:r>
      <m:oMath>
        <m:r>
          <m:t>t</m:t>
        </m:r>
      </m:oMath>
    </w:p>
    <w:p>
      <w:pPr>
        <w:pStyle w:val="Compact"/>
        <w:numPr>
          <w:numId w:val="1001"/>
          <w:ilvl w:val="0"/>
        </w:numPr>
      </w:pPr>
      <m:oMath>
        <m:sSub>
          <m:e>
            <m:r>
              <m:t>f</m:t>
            </m:r>
          </m:e>
          <m:sub>
            <m:r>
              <m:t>t</m:t>
            </m:r>
          </m:sub>
        </m:sSub>
      </m:oMath>
      <w:r>
        <w:t xml:space="preserve"> </w:t>
      </w:r>
      <w:r>
        <w:t xml:space="preserve">is the forecast we made for period</w:t>
      </w:r>
      <w:r>
        <w:t xml:space="preserve"> </w:t>
      </w:r>
      <m:oMath>
        <m:r>
          <m:t>t</m:t>
        </m:r>
      </m:oMath>
    </w:p>
    <w:p>
      <w:pPr>
        <w:pStyle w:val="FirstParagraph"/>
      </w:pPr>
      <w:r>
        <w:t xml:space="preserve">The first</w:t>
      </w:r>
      <w:r>
        <w:t xml:space="preserve"> </w:t>
      </w:r>
      <w:r>
        <w:t xml:space="preserve">forecast will be done for</w:t>
      </w:r>
      <w:r>
        <w:t xml:space="preserve"> </w:t>
      </w:r>
      <m:oMath>
        <m:r>
          <m:t>t</m:t>
        </m:r>
        <m:r>
          <m:t>=</m:t>
        </m:r>
        <m:r>
          <m:t>n</m:t>
        </m:r>
        <m:r>
          <m:t>+</m:t>
        </m:r>
        <m:r>
          <m:t>1</m:t>
        </m:r>
      </m:oMath>
    </w:p>
    <w:p>
      <w:pPr>
        <w:pStyle w:val="BodyText"/>
      </w:pPr>
      <w:r>
        <w:t xml:space="preserve">In scientific literature, you will find often see the output you want to predict noted</w:t>
      </w:r>
      <w:r>
        <w:t xml:space="preserve"> </w:t>
      </w:r>
      <m:oMath>
        <m:r>
          <m:t>y</m:t>
        </m:r>
      </m:oMath>
    </w:p>
    <w:p>
      <w:pPr>
        <w:pStyle w:val="BodyText"/>
      </w:pPr>
      <w:r>
        <w:t xml:space="preserve">A prediction would be noted as</w:t>
      </w:r>
      <w:r>
        <w:t xml:space="preserve"> </w:t>
      </w:r>
      <m:oMath>
        <m:acc>
          <m:accPr>
            <m:chr m:val="̂"/>
          </m:accPr>
          <m:e>
            <m:r>
              <m:t>y</m:t>
            </m:r>
          </m:e>
        </m:acc>
      </m:oMath>
    </w:p>
    <w:p>
      <w:pPr>
        <w:pStyle w:val="BodyText"/>
      </w:pPr>
      <w:r>
        <w:t xml:space="preserve">When we want to point to a specific occurrence of the forcast at time</w:t>
      </w:r>
      <w:r>
        <w:t xml:space="preserve"> </w:t>
      </w:r>
      <m:oMath>
        <m:r>
          <m:t>t</m:t>
        </m:r>
      </m:oMath>
      <w:r>
        <w:t xml:space="preserve">, we will not it</w:t>
      </w:r>
      <w:r>
        <w:t xml:space="preserve"> </w:t>
      </w:r>
      <m:oMath>
        <m:sSub>
          <m:e>
            <m:r>
              <m:t>f</m:t>
            </m:r>
          </m:e>
          <m:sub>
            <m:r>
              <m:t>t</m:t>
            </m:r>
          </m:sub>
        </m:sSub>
      </m:oMath>
      <w:r>
        <w:t xml:space="preserve"> </w:t>
      </w:r>
      <w:r>
        <w:t xml:space="preserve">or</w:t>
      </w:r>
      <w:r>
        <w:t xml:space="preserve"> </w:t>
      </w:r>
      <m:oMath>
        <m:sSub>
          <m:e>
            <m:r>
              <m:t>d</m:t>
            </m:r>
          </m:e>
          <m:sub>
            <m:r>
              <m:t>t</m:t>
            </m:r>
          </m:sub>
        </m:sSub>
      </m:oMath>
    </w:p>
    <w:p>
      <w:pPr>
        <w:pStyle w:val="BodyText"/>
      </w:pPr>
      <w:r>
        <w:t xml:space="preserve">Demand observation: we will call the demand of each period.</w:t>
      </w:r>
    </w:p>
    <w:p>
      <w:pPr>
        <w:pStyle w:val="BodyText"/>
      </w:pPr>
      <w:r>
        <w:rPr>
          <w:b/>
        </w:rPr>
        <w:t xml:space="preserve">Noise</w:t>
      </w:r>
      <w:r>
        <w:t xml:space="preserve">: an unexplained variation in the data. It is often due to the randomness of the different processes at hand.</w:t>
      </w:r>
    </w:p>
    <w:p>
      <w:pPr>
        <w:pStyle w:val="Heading2"/>
      </w:pPr>
      <w:bookmarkStart w:id="21" w:name="references"/>
      <w:r>
        <w:t xml:space="preserve">References</w:t>
      </w:r>
      <w:bookmarkEnd w:id="21"/>
    </w:p>
    <w:p>
      <w:pPr>
        <w:pStyle w:val="Compact"/>
        <w:numPr>
          <w:numId w:val="1002"/>
          <w:ilvl w:val="0"/>
        </w:numPr>
      </w:pPr>
      <w:hyperlink r:id="rId22">
        <w:r>
          <w:rPr>
            <w:rStyle w:val="Hyperlink"/>
          </w:rPr>
          <w:t xml:space="preserve">Moving Average:</w:t>
        </w:r>
      </w:hyperlink>
    </w:p>
    <w:p>
      <w:pPr>
        <w:pStyle w:val="SourceCode"/>
      </w:pPr>
      <w:r>
        <w:rPr>
          <w:rStyle w:val="NormalTok"/>
        </w:rPr>
        <w:t xml:space="preserve">dmd &lt;-</w:t>
      </w:r>
      <w:r>
        <w:rPr>
          <w:rStyle w:val="StringTok"/>
        </w:rPr>
        <w:t xml:space="preserve"> </w:t>
      </w:r>
      <w:r>
        <w:rPr>
          <w:rStyle w:val="NormalTok"/>
        </w:rPr>
        <w:t xml:space="preserve">tibble</w:t>
      </w:r>
      <w:r>
        <w:rPr>
          <w:rStyle w:val="OperatorTok"/>
        </w:rPr>
        <w:t xml:space="preserve">::</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NormalTok"/>
        </w:rPr>
        <w:t xml:space="preserve">Date, </w:t>
      </w:r>
      <w:r>
        <w:rPr>
          <w:rStyle w:val="OperatorTok"/>
        </w:rPr>
        <w:t xml:space="preserve">~</w:t>
      </w:r>
      <w:r>
        <w:rPr>
          <w:rStyle w:val="NormalTok"/>
        </w:rPr>
        <w:t xml:space="preserve">Demand,</w:t>
      </w:r>
      <w:r>
        <w:br/>
      </w:r>
      <w:r>
        <w:rPr>
          <w:rStyle w:val="NormalTok"/>
        </w:rPr>
        <w:t xml:space="preserve">         </w:t>
      </w:r>
      <w:r>
        <w:rPr>
          <w:rStyle w:val="StringTok"/>
        </w:rPr>
        <w:t xml:space="preserve">"2010-1-1"</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StringTok"/>
        </w:rPr>
        <w:t xml:space="preserve">"2011-1-1"</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StringTok"/>
        </w:rPr>
        <w:t xml:space="preserve">"2012-1-1"</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"2013-1-1"</w:t>
      </w:r>
      <w:r>
        <w:rPr>
          <w:rStyle w:val="NormalTok"/>
        </w:rPr>
        <w:t xml:space="preserve">,     </w:t>
      </w:r>
      <w:r>
        <w:rPr>
          <w:rStyle w:val="DecValTok"/>
        </w:rPr>
        <w:t xml:space="preserve">112</w:t>
      </w:r>
      <w:r>
        <w:rPr>
          <w:rStyle w:val="NormalTok"/>
        </w:rPr>
        <w:t xml:space="preserve">,</w:t>
      </w:r>
      <w:r>
        <w:br/>
      </w:r>
      <w:r>
        <w:rPr>
          <w:rStyle w:val="NormalTok"/>
        </w:rPr>
        <w:t xml:space="preserve">         </w:t>
      </w:r>
      <w:r>
        <w:rPr>
          <w:rStyle w:val="StringTok"/>
        </w:rPr>
        <w:t xml:space="preserve">"2014-1-1"</w:t>
      </w:r>
      <w:r>
        <w:rPr>
          <w:rStyle w:val="NormalTok"/>
        </w:rPr>
        <w:t xml:space="preserve">,     </w:t>
      </w:r>
      <w:r>
        <w:rPr>
          <w:rStyle w:val="DecValTok"/>
        </w:rPr>
        <w:t xml:space="preserve">132</w:t>
      </w:r>
      <w:r>
        <w:rPr>
          <w:rStyle w:val="NormalTok"/>
        </w:rPr>
        <w:t xml:space="preserve">,</w:t>
      </w:r>
      <w:r>
        <w:br/>
      </w:r>
      <w:r>
        <w:rPr>
          <w:rStyle w:val="NormalTok"/>
        </w:rPr>
        <w:t xml:space="preserve">         </w:t>
      </w:r>
      <w:r>
        <w:rPr>
          <w:rStyle w:val="StringTok"/>
        </w:rPr>
        <w:t xml:space="preserve">"2015-1-1"</w:t>
      </w:r>
      <w:r>
        <w:rPr>
          <w:rStyle w:val="NormalTok"/>
        </w:rPr>
        <w:t xml:space="preserve">,     </w:t>
      </w:r>
      <w:r>
        <w:rPr>
          <w:rStyle w:val="DecValTok"/>
        </w:rPr>
        <w:t xml:space="preserve">145</w:t>
      </w:r>
      <w:r>
        <w:rPr>
          <w:rStyle w:val="NormalTok"/>
        </w:rPr>
        <w:t xml:space="preserve">,</w:t>
      </w:r>
      <w:r>
        <w:br/>
      </w:r>
      <w:r>
        <w:rPr>
          <w:rStyle w:val="NormalTok"/>
        </w:rPr>
        <w:t xml:space="preserve">         </w:t>
      </w:r>
      <w:r>
        <w:rPr>
          <w:rStyle w:val="StringTok"/>
        </w:rPr>
        <w:t xml:space="preserve">"2016-1-1"</w:t>
      </w:r>
      <w:r>
        <w:rPr>
          <w:rStyle w:val="NormalTok"/>
        </w:rPr>
        <w:t xml:space="preserve">,     </w:t>
      </w:r>
      <w:r>
        <w:rPr>
          <w:rStyle w:val="DecValTok"/>
        </w:rPr>
        <w:t xml:space="preserve">179</w:t>
      </w:r>
      <w:r>
        <w:rPr>
          <w:rStyle w:val="NormalTok"/>
        </w:rPr>
        <w:t xml:space="preserve">,</w:t>
      </w:r>
      <w:r>
        <w:br/>
      </w:r>
      <w:r>
        <w:rPr>
          <w:rStyle w:val="NormalTok"/>
        </w:rPr>
        <w:t xml:space="preserve">         </w:t>
      </w:r>
      <w:r>
        <w:rPr>
          <w:rStyle w:val="StringTok"/>
        </w:rPr>
        <w:t xml:space="preserve">"2017-1-1"</w:t>
      </w:r>
      <w:r>
        <w:rPr>
          <w:rStyle w:val="NormalTok"/>
        </w:rPr>
        <w:t xml:space="preserve">,     </w:t>
      </w:r>
      <w:r>
        <w:rPr>
          <w:rStyle w:val="DecValTok"/>
        </w:rPr>
        <w:t xml:space="preserve">198</w:t>
      </w:r>
      <w:r>
        <w:rPr>
          <w:rStyle w:val="NormalTok"/>
        </w:rPr>
        <w:t xml:space="preserve">,</w:t>
      </w:r>
      <w:r>
        <w:br/>
      </w:r>
      <w:r>
        <w:rPr>
          <w:rStyle w:val="NormalTok"/>
        </w:rPr>
        <w:t xml:space="preserve">         </w:t>
      </w:r>
      <w:r>
        <w:rPr>
          <w:rStyle w:val="StringTok"/>
        </w:rPr>
        <w:t xml:space="preserve">"2018-1-1"</w:t>
      </w:r>
      <w:r>
        <w:rPr>
          <w:rStyle w:val="NormalTok"/>
        </w:rPr>
        <w:t xml:space="preserve">,     </w:t>
      </w:r>
      <w:r>
        <w:rPr>
          <w:rStyle w:val="DecValTok"/>
        </w:rPr>
        <w:t xml:space="preserve">212</w:t>
      </w:r>
      <w:r>
        <w:rPr>
          <w:rStyle w:val="NormalTok"/>
        </w:rPr>
        <w:t xml:space="preserve">,</w:t>
      </w:r>
      <w:r>
        <w:br/>
      </w:r>
      <w:r>
        <w:rPr>
          <w:rStyle w:val="NormalTok"/>
        </w:rPr>
        <w:t xml:space="preserve">         </w:t>
      </w:r>
      <w:r>
        <w:rPr>
          <w:rStyle w:val="StringTok"/>
        </w:rPr>
        <w:t xml:space="preserve">"2019-1-1"</w:t>
      </w:r>
      <w:r>
        <w:rPr>
          <w:rStyle w:val="NormalTok"/>
        </w:rPr>
        <w:t xml:space="preserve">,     </w:t>
      </w:r>
      <w:r>
        <w:rPr>
          <w:rStyle w:val="DecValTok"/>
        </w:rPr>
        <w:t xml:space="preserve">232</w:t>
      </w:r>
      <w:r>
        <w:rPr>
          <w:rStyle w:val="NormalTok"/>
        </w:rPr>
        <w:t xml:space="preserve">,</w:t>
      </w:r>
      <w:r>
        <w:br/>
      </w:r>
      <w:r>
        <w:rPr>
          <w:rStyle w:val="NormalTok"/>
        </w:rPr>
        <w:t xml:space="preserve">         </w:t>
      </w:r>
      <w:r>
        <w:rPr>
          <w:rStyle w:val="StringTok"/>
        </w:rPr>
        <w:t xml:space="preserve">"2020-1-1"</w:t>
      </w:r>
      <w:r>
        <w:rPr>
          <w:rStyle w:val="NormalTok"/>
        </w:rPr>
        <w:t xml:space="preserve">,      </w:t>
      </w:r>
      <w:r>
        <w:rPr>
          <w:rStyle w:val="OtherTok"/>
        </w:rPr>
        <w:t xml:space="preserve">NA</w:t>
      </w:r>
      <w:r>
        <w:rPr>
          <w:rStyle w:val="NormalTok"/>
        </w:rPr>
        <w:t xml:space="preserve">,</w:t>
      </w:r>
      <w:r>
        <w:br/>
      </w:r>
      <w:r>
        <w:rPr>
          <w:rStyle w:val="NormalTok"/>
        </w:rPr>
        <w:t xml:space="preserve">         </w:t>
      </w:r>
      <w:r>
        <w:rPr>
          <w:rStyle w:val="StringTok"/>
        </w:rPr>
        <w:t xml:space="preserve">"2021-1-1"</w:t>
      </w:r>
      <w:r>
        <w:rPr>
          <w:rStyle w:val="NormalTok"/>
        </w:rPr>
        <w:t xml:space="preserve">,      </w:t>
      </w:r>
      <w:r>
        <w:rPr>
          <w:rStyle w:val="OtherTok"/>
        </w:rPr>
        <w:t xml:space="preserve">NA</w:t>
      </w:r>
      <w:r>
        <w:rPr>
          <w:rStyle w:val="NormalTok"/>
        </w:rPr>
        <w:t xml:space="preserve">,</w:t>
      </w:r>
      <w:r>
        <w:br/>
      </w:r>
      <w:r>
        <w:rPr>
          <w:rStyle w:val="NormalTok"/>
        </w:rPr>
        <w:t xml:space="preserve">         </w:t>
      </w:r>
      <w:r>
        <w:rPr>
          <w:rStyle w:val="StringTok"/>
        </w:rPr>
        <w:t xml:space="preserve">"2022-1-1"</w:t>
      </w:r>
      <w:r>
        <w:rPr>
          <w:rStyle w:val="NormalTok"/>
        </w:rPr>
        <w:t xml:space="preserve">,      </w:t>
      </w:r>
      <w:r>
        <w:rPr>
          <w:rStyle w:val="OtherTok"/>
        </w:rPr>
        <w:t xml:space="preserve">NA</w:t>
      </w:r>
      <w:r>
        <w:br/>
      </w:r>
      <w:r>
        <w:rPr>
          <w:rStyle w:val="NormalTok"/>
        </w:rPr>
        <w:t xml:space="preserve">         )</w:t>
      </w:r>
      <w:r>
        <w:br/>
      </w:r>
      <w:r>
        <w:br/>
      </w:r>
      <w:r>
        <w:br/>
      </w:r>
      <w:r>
        <w:br/>
      </w:r>
      <w:r>
        <w:rPr>
          <w:rStyle w:val="NormalTok"/>
        </w:rPr>
        <w:t xml:space="preserve">dmd</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(dmd</w:t>
      </w:r>
      <w:r>
        <w:rPr>
          <w:rStyle w:val="OperatorTok"/>
        </w:rPr>
        <w:t xml:space="preserve">$</w:t>
      </w:r>
      <w:r>
        <w:rPr>
          <w:rStyle w:val="NormalTok"/>
        </w:rPr>
        <w:t xml:space="preserve">Date)</w:t>
      </w:r>
      <w:r>
        <w:br/>
      </w:r>
      <w:r>
        <w:br/>
      </w:r>
      <w:r>
        <w:rPr>
          <w:rStyle w:val="NormalTok"/>
        </w:rPr>
        <w:t xml:space="preserve">demand &lt;-</w:t>
      </w:r>
      <w:r>
        <w:rPr>
          <w:rStyle w:val="StringTok"/>
        </w:rPr>
        <w:t xml:space="preserve"> </w:t>
      </w:r>
      <w:r>
        <w:rPr>
          <w:rStyle w:val="NormalTok"/>
        </w:rPr>
        <w:t xml:space="preserve">dmd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srate_ma_1 =</w:t>
      </w:r>
      <w:r>
        <w:rPr>
          <w:rStyle w:val="NormalTok"/>
        </w:rPr>
        <w:t xml:space="preserve"> </w:t>
      </w:r>
      <w:r>
        <w:rPr>
          <w:rStyle w:val="KeywordTok"/>
        </w:rPr>
        <w:t xml:space="preserve">rollmean</w:t>
      </w:r>
      <w:r>
        <w:rPr>
          <w:rStyle w:val="NormalTok"/>
        </w:rPr>
        <w:t xml:space="preserve">(Demand,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DataTypeTok"/>
        </w:rPr>
        <w:t xml:space="preserve">srate_ma_2 =</w:t>
      </w:r>
      <w:r>
        <w:rPr>
          <w:rStyle w:val="NormalTok"/>
        </w:rPr>
        <w:t xml:space="preserve"> </w:t>
      </w:r>
      <w:r>
        <w:rPr>
          <w:rStyle w:val="KeywordTok"/>
        </w:rPr>
        <w:t xml:space="preserve">rollmean</w:t>
      </w:r>
      <w:r>
        <w:rPr>
          <w:rStyle w:val="NormalTok"/>
        </w:rPr>
        <w:t xml:space="preserve">(Demand,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align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DataTypeTok"/>
        </w:rPr>
        <w:t xml:space="preserve">srate_ma_3 =</w:t>
      </w:r>
      <w:r>
        <w:rPr>
          <w:rStyle w:val="NormalTok"/>
        </w:rPr>
        <w:t xml:space="preserve"> </w:t>
      </w:r>
      <w:r>
        <w:rPr>
          <w:rStyle w:val="KeywordTok"/>
        </w:rPr>
        <w:t xml:space="preserve">rollmean</w:t>
      </w:r>
      <w:r>
        <w:rPr>
          <w:rStyle w:val="NormalTok"/>
        </w:rPr>
        <w:t xml:space="preserve">(Demand,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 </w:t>
      </w:r>
      <w:r>
        <w:rPr>
          <w:rStyle w:val="DataTypeTok"/>
        </w:rPr>
        <w:t xml:space="preserve">align =</w:t>
      </w:r>
      <w:r>
        <w:rPr>
          <w:rStyle w:val="NormalTok"/>
        </w:rPr>
        <w:t xml:space="preserve"> </w:t>
      </w:r>
      <w:r>
        <w:rPr>
          <w:rStyle w:val="StringTok"/>
        </w:rPr>
        <w:t xml:space="preserve">"right"</w:t>
      </w:r>
      <w:r>
        <w:rPr>
          <w:rStyle w:val="NormalTok"/>
        </w:rPr>
        <w:t xml:space="preserve">)) </w:t>
      </w:r>
      <w:r>
        <w:br/>
      </w:r>
      <w:r>
        <w:br/>
      </w:r>
      <w:r>
        <w:rPr>
          <w:rStyle w:val="NormalTok"/>
        </w:rPr>
        <w:t xml:space="preserve">demand</w:t>
      </w:r>
    </w:p>
    <w:p>
      <w:pPr>
        <w:pStyle w:val="SourceCode"/>
      </w:pPr>
      <w:r>
        <w:rPr>
          <w:rStyle w:val="VerbatimChar"/>
        </w:rPr>
        <w:t xml:space="preserve">## # A tibble: 13 x 5</w:t>
      </w:r>
      <w:r>
        <w:br/>
      </w:r>
      <w:r>
        <w:rPr>
          <w:rStyle w:val="VerbatimChar"/>
        </w:rPr>
        <w:t xml:space="preserve">##    Date       Demand srate_ma_1 srate_ma_2 srate_ma_3</w:t>
      </w:r>
      <w:r>
        <w:br/>
      </w:r>
      <w:r>
        <w:rPr>
          <w:rStyle w:val="VerbatimChar"/>
        </w:rPr>
        <w:t xml:space="preserve">##    &lt;date&gt;      &lt;dbl&gt;      &lt;dbl&gt;      &lt;dbl&gt;      &lt;dbl&gt;</w:t>
      </w:r>
      <w:r>
        <w:br/>
      </w:r>
      <w:r>
        <w:rPr>
          <w:rStyle w:val="VerbatimChar"/>
        </w:rPr>
        <w:t xml:space="preserve">##  1 2010-01-01     37       NA         NA         NA  </w:t>
      </w:r>
      <w:r>
        <w:br/>
      </w:r>
      <w:r>
        <w:rPr>
          <w:rStyle w:val="VerbatimChar"/>
        </w:rPr>
        <w:t xml:space="preserve">##  2 2011-01-01     60       NA         NA         NA  </w:t>
      </w:r>
      <w:r>
        <w:br/>
      </w:r>
      <w:r>
        <w:rPr>
          <w:rStyle w:val="VerbatimChar"/>
        </w:rPr>
        <w:t xml:space="preserve">##  3 2012-01-01     85       NA         NA         NA  </w:t>
      </w:r>
      <w:r>
        <w:br/>
      </w:r>
      <w:r>
        <w:rPr>
          <w:rStyle w:val="VerbatimChar"/>
        </w:rPr>
        <w:t xml:space="preserve">##  4 2013-01-01    112       73.5       NA         NA  </w:t>
      </w:r>
      <w:r>
        <w:br/>
      </w:r>
      <w:r>
        <w:rPr>
          <w:rStyle w:val="VerbatimChar"/>
        </w:rPr>
        <w:t xml:space="preserve">##  5 2014-01-01    132       97.2       85.2       NA  </w:t>
      </w:r>
      <w:r>
        <w:br/>
      </w:r>
      <w:r>
        <w:rPr>
          <w:rStyle w:val="VerbatimChar"/>
        </w:rPr>
        <w:t xml:space="preserve">##  6 2015-01-01    145      118.       107.        95.2</w:t>
      </w:r>
      <w:r>
        <w:br/>
      </w:r>
      <w:r>
        <w:rPr>
          <w:rStyle w:val="VerbatimChar"/>
        </w:rPr>
        <w:t xml:space="preserve">##  7 2016-01-01    179      142        131.       119. </w:t>
      </w:r>
      <w:r>
        <w:br/>
      </w:r>
      <w:r>
        <w:rPr>
          <w:rStyle w:val="VerbatimChar"/>
        </w:rPr>
        <w:t xml:space="preserve">##  8 2017-01-01    198      164.       153.       142. </w:t>
      </w:r>
      <w:r>
        <w:br/>
      </w:r>
      <w:r>
        <w:rPr>
          <w:rStyle w:val="VerbatimChar"/>
        </w:rPr>
        <w:t xml:space="preserve">##  9 2018-01-01    212      184.       173.       163  </w:t>
      </w:r>
      <w:r>
        <w:br/>
      </w:r>
      <w:r>
        <w:rPr>
          <w:rStyle w:val="VerbatimChar"/>
        </w:rPr>
        <w:t xml:space="preserve">## 10 2019-01-01    232      205.       193.       183  </w:t>
      </w:r>
      <w:r>
        <w:br/>
      </w:r>
      <w:r>
        <w:rPr>
          <w:rStyle w:val="VerbatimChar"/>
        </w:rPr>
        <w:t xml:space="preserve">## 11 2020-01-01     NA       NA         NA         NA  </w:t>
      </w:r>
      <w:r>
        <w:br/>
      </w:r>
      <w:r>
        <w:rPr>
          <w:rStyle w:val="VerbatimChar"/>
        </w:rPr>
        <w:t xml:space="preserve">## 12 2021-01-01     NA       NA         NA         NA  </w:t>
      </w:r>
      <w:r>
        <w:br/>
      </w:r>
      <w:r>
        <w:rPr>
          <w:rStyle w:val="VerbatimChar"/>
        </w:rPr>
        <w:t xml:space="preserve">## 13 2022-01-01     NA       NA         NA         NA</w:t>
      </w:r>
    </w:p>
    <w:p>
      <w:pPr>
        <w:pStyle w:val="SourceCode"/>
      </w:pPr>
      <w:r>
        <w:rPr>
          <w:rStyle w:val="NormalTok"/>
        </w:rPr>
        <w:t xml:space="preserve">demand </w:t>
      </w:r>
      <w:r>
        <w:rPr>
          <w:rStyle w:val="OperatorTok"/>
        </w:rPr>
        <w:t xml:space="preserve">%&gt;%</w:t>
      </w:r>
      <w:r>
        <w:rPr>
          <w:rStyle w:val="StringTok"/>
        </w:rPr>
        <w:t xml:space="preserve"> </w:t>
      </w:r>
      <w:r>
        <w:rPr>
          <w:rStyle w:val="KeywordTok"/>
        </w:rPr>
        <w:t xml:space="preserve">gather</w:t>
      </w:r>
      <w:r>
        <w:rPr>
          <w:rStyle w:val="NormalTok"/>
        </w:rPr>
        <w:t xml:space="preserve">(metric, value, Demand</w:t>
      </w:r>
      <w:r>
        <w:rPr>
          <w:rStyle w:val="OperatorTok"/>
        </w:rPr>
        <w:t xml:space="preserve">:</w:t>
      </w:r>
      <w:r>
        <w:rPr>
          <w:rStyle w:val="NormalTok"/>
        </w:rPr>
        <w:t xml:space="preserve">srate_ma_</w:t>
      </w:r>
      <w:r>
        <w:rPr>
          <w:rStyle w:val="DecValTok"/>
        </w:rPr>
        <w:t xml:space="preserve">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value, </w:t>
      </w:r>
      <w:r>
        <w:rPr>
          <w:rStyle w:val="DataTypeTok"/>
        </w:rPr>
        <w:t xml:space="preserve">color =</w:t>
      </w:r>
      <w:r>
        <w:rPr>
          <w:rStyle w:val="NormalTok"/>
        </w:rPr>
        <w:t xml:space="preserve"> metric))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Warning: Removed 24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MovingAverag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by far the simplest way to generate a trending forecast based on the information. This really hends up giving common trend but does not take seasonality into consideration and will thus understate/overstate when there are significant changes over a period of time.</w:t>
      </w:r>
    </w:p>
    <w:p>
      <w:pPr>
        <w:pStyle w:val="BodyText"/>
      </w:pPr>
      <w:r>
        <w:t xml:space="preserve">One example of this is seasonal sales. Generally after Black Friday (Holiday in the United States similar to singles day in Asia), sales will dramatically increase due to the Christmas season.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2" Target="http://uc-r.github.io/ts_moving_averages" TargetMode="External" /></Relationships>
</file>

<file path=word/_rels/footnotes.xml.rels><?xml version="1.0" encoding="UTF-8"?>
<Relationships xmlns="http://schemas.openxmlformats.org/package/2006/relationships"><Relationship Type="http://schemas.openxmlformats.org/officeDocument/2006/relationships/hyperlink" Id="rId22" Target="http://uc-r.github.io/ts_moving_aver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for Supply Chain</dc:title>
  <dc:creator/>
  <cp:keywords/>
  <dcterms:created xsi:type="dcterms:W3CDTF">2021-02-18T22:10:22Z</dcterms:created>
  <dcterms:modified xsi:type="dcterms:W3CDTF">2021-02-18T22:10:22Z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