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3AE5D" w14:textId="21975EA4" w:rsidR="009B28D9" w:rsidRDefault="00000000">
      <w:pPr>
        <w:spacing w:after="600"/>
      </w:pPr>
      <w:r>
        <w:rPr>
          <w:rFonts w:ascii="Avenir Book" w:eastAsia="Avenir Book" w:hAnsi="Avenir Book" w:cs="Avenir Book"/>
          <w:b/>
          <w:bCs/>
          <w:sz w:val="32"/>
          <w:szCs w:val="32"/>
        </w:rPr>
        <w:t>Case Study: Kyndryl Insights Hub</w:t>
      </w:r>
    </w:p>
    <w:p w14:paraId="7EF510A1" w14:textId="77777777" w:rsidR="009B28D9" w:rsidRDefault="00000000">
      <w:pPr>
        <w:spacing w:after="120" w:line="264" w:lineRule="auto"/>
      </w:pPr>
      <w:r>
        <w:rPr>
          <w:rFonts w:ascii="Avenir Book" w:eastAsia="Avenir Book" w:hAnsi="Avenir Book" w:cs="Avenir Book"/>
          <w:b/>
          <w:bCs/>
          <w:caps/>
        </w:rPr>
        <w:t>Background:</w:t>
      </w:r>
    </w:p>
    <w:p w14:paraId="1A8BF171" w14:textId="4F21E8A0" w:rsidR="009B28D9" w:rsidRDefault="00000000">
      <w:pPr>
        <w:spacing w:after="240" w:line="264" w:lineRule="auto"/>
      </w:pPr>
      <w:r>
        <w:rPr>
          <w:rFonts w:ascii="Avenir Book" w:eastAsia="Avenir Book" w:hAnsi="Avenir Book" w:cs="Avenir Book"/>
        </w:rPr>
        <w:t>Kyndryl is the world’s largest provider of IT infrastructure services, born from IBM’s managed infrastructure spin-off. With over 90,000 professionals serving more than 4,000 customers across 63 countries</w:t>
      </w:r>
      <w:r w:rsidR="005551B2">
        <w:rPr>
          <w:rFonts w:ascii="Avenir Book" w:eastAsia="Avenir Book" w:hAnsi="Avenir Book" w:cs="Avenir Book"/>
        </w:rPr>
        <w:t xml:space="preserve">, </w:t>
      </w:r>
      <w:r>
        <w:rPr>
          <w:rFonts w:ascii="Avenir Book" w:eastAsia="Avenir Book" w:hAnsi="Avenir Book" w:cs="Avenir Book"/>
        </w:rPr>
        <w:t>Kyndryl occupies a critical position in the global digital economy. The company’s focus on designing, building, managing, and modernizing the mission-critical technology systems that enterprises depend on makes thought leadership content essential to their market positioning. In B2B technology, research consistently shows that over half of decision-makers purchase solutions after engaging with quality thought leadership, making it a direct revenue driver rather than just a brand exercise.</w:t>
      </w:r>
    </w:p>
    <w:p w14:paraId="05BA46C2" w14:textId="77777777" w:rsidR="009B28D9" w:rsidRDefault="009B28D9"/>
    <w:p w14:paraId="5639379F" w14:textId="77777777" w:rsidR="009B28D9" w:rsidRDefault="00000000">
      <w:pPr>
        <w:spacing w:after="120" w:line="264" w:lineRule="auto"/>
      </w:pPr>
      <w:r>
        <w:rPr>
          <w:rFonts w:ascii="Avenir Book" w:eastAsia="Avenir Book" w:hAnsi="Avenir Book" w:cs="Avenir Book"/>
          <w:b/>
          <w:bCs/>
          <w:caps/>
        </w:rPr>
        <w:t>Challenge:</w:t>
      </w:r>
    </w:p>
    <w:p w14:paraId="6C17C2F9" w14:textId="3EA8B8BB" w:rsidR="009B28D9" w:rsidRDefault="00000000">
      <w:pPr>
        <w:spacing w:after="240" w:line="264" w:lineRule="auto"/>
      </w:pPr>
      <w:r>
        <w:rPr>
          <w:rFonts w:ascii="Avenir Book" w:eastAsia="Avenir Book" w:hAnsi="Avenir Book" w:cs="Avenir Book"/>
        </w:rPr>
        <w:t>Kyndryl’s existing website housed thought leadership content across multiple sections and page types, but lacked a unified, strategic approach to how that content was organized, discovered, and consumed. With insights, articles, and research scattered across the site, visitors struggled to find relevant perspectives, and Kyndryl’s leadership team lacked visibility into how content was performing across the customer journey. The challenge was to reimagine how thought leadership content was represented across the entire Kyndryl.com website</w:t>
      </w:r>
      <w:r w:rsidR="005551B2">
        <w:rPr>
          <w:rFonts w:ascii="Avenir Book" w:eastAsia="Avenir Book" w:hAnsi="Avenir Book" w:cs="Avenir Book"/>
        </w:rPr>
        <w:t xml:space="preserve">, </w:t>
      </w:r>
      <w:r>
        <w:rPr>
          <w:rFonts w:ascii="Avenir Book" w:eastAsia="Avenir Book" w:hAnsi="Avenir Book" w:cs="Avenir Book"/>
        </w:rPr>
        <w:t>creating a cohesive experience that elevated Kyndryl’s voice as an industry authority while providing measurable engagement data to inform future content strategy.</w:t>
      </w:r>
    </w:p>
    <w:p w14:paraId="669FC018" w14:textId="77777777" w:rsidR="009B28D9" w:rsidRDefault="009B28D9"/>
    <w:p w14:paraId="1999394E" w14:textId="77777777" w:rsidR="009B28D9" w:rsidRDefault="00000000">
      <w:pPr>
        <w:spacing w:after="120" w:line="264" w:lineRule="auto"/>
      </w:pPr>
      <w:r>
        <w:rPr>
          <w:rFonts w:ascii="Avenir Book" w:eastAsia="Avenir Book" w:hAnsi="Avenir Book" w:cs="Avenir Book"/>
          <w:b/>
          <w:bCs/>
          <w:caps/>
        </w:rPr>
        <w:t>Approach:</w:t>
      </w:r>
    </w:p>
    <w:p w14:paraId="26381DFC" w14:textId="3D86F67C" w:rsidR="009B28D9" w:rsidRDefault="00000000">
      <w:pPr>
        <w:spacing w:after="240" w:line="264" w:lineRule="auto"/>
      </w:pPr>
      <w:r>
        <w:rPr>
          <w:rFonts w:ascii="Avenir Book" w:eastAsia="Avenir Book" w:hAnsi="Avenir Book" w:cs="Avenir Book"/>
        </w:rPr>
        <w:t xml:space="preserve">POP began with a rigorous strategic discovery phase, conducting stakeholder interviews across Kyndryl’s organization to understand content goals, audience needs, and editorial workflows. This stakeholder-driven approach was essential for navigating a complex enterprise environment with multiple leadership voices and priorities. From these insights, POP designed and developed a net-new Insights Hub landing page along with four new section </w:t>
      </w:r>
      <w:r w:rsidR="005551B2">
        <w:rPr>
          <w:rFonts w:ascii="Avenir Book" w:eastAsia="Avenir Book" w:hAnsi="Avenir Book" w:cs="Avenir Book"/>
        </w:rPr>
        <w:t>designs</w:t>
      </w:r>
      <w:r>
        <w:rPr>
          <w:rFonts w:ascii="Avenir Book" w:eastAsia="Avenir Book" w:hAnsi="Avenir Book" w:cs="Avenir Book"/>
        </w:rPr>
        <w:t xml:space="preserve">, creating a purpose-built destination for Kyndryl’s thought leadership content. The team then executed a comprehensive migration of 50 webpages of existing content into the new template system, ensuring nothing was lost in the transition. Built on Adobe Experience Manager, the solution leveraged Kyndryl’s existing technology investment while adding </w:t>
      </w:r>
      <w:r w:rsidR="005551B2">
        <w:rPr>
          <w:rFonts w:ascii="Avenir Book" w:eastAsia="Avenir Book" w:hAnsi="Avenir Book" w:cs="Avenir Book"/>
        </w:rPr>
        <w:t>analytics</w:t>
      </w:r>
      <w:r>
        <w:rPr>
          <w:rFonts w:ascii="Avenir Book" w:eastAsia="Avenir Book" w:hAnsi="Avenir Book" w:cs="Avenir Book"/>
        </w:rPr>
        <w:t xml:space="preserve"> tagging measurement plan</w:t>
      </w:r>
      <w:r w:rsidR="005551B2">
        <w:rPr>
          <w:rFonts w:ascii="Avenir Book" w:eastAsia="Avenir Book" w:hAnsi="Avenir Book" w:cs="Avenir Book"/>
        </w:rPr>
        <w:t>s</w:t>
      </w:r>
      <w:r>
        <w:rPr>
          <w:rFonts w:ascii="Avenir Book" w:eastAsia="Avenir Book" w:hAnsi="Avenir Book" w:cs="Avenir Book"/>
        </w:rPr>
        <w:t xml:space="preserve"> and Adobe Customer Journey Analytics dashboard</w:t>
      </w:r>
      <w:r w:rsidR="005551B2">
        <w:rPr>
          <w:rFonts w:ascii="Avenir Book" w:eastAsia="Avenir Book" w:hAnsi="Avenir Book" w:cs="Avenir Book"/>
        </w:rPr>
        <w:t>s</w:t>
      </w:r>
      <w:r>
        <w:rPr>
          <w:rFonts w:ascii="Avenir Book" w:eastAsia="Avenir Book" w:hAnsi="Avenir Book" w:cs="Avenir Book"/>
        </w:rPr>
        <w:t xml:space="preserve"> setup to give the team real-time visibility into content performance.</w:t>
      </w:r>
    </w:p>
    <w:p w14:paraId="51E30C4F" w14:textId="77777777" w:rsidR="009B28D9" w:rsidRDefault="009B28D9"/>
    <w:p w14:paraId="0E5C22A5" w14:textId="77777777" w:rsidR="009B28D9" w:rsidRDefault="00000000">
      <w:pPr>
        <w:spacing w:after="120" w:line="264" w:lineRule="auto"/>
      </w:pPr>
      <w:r>
        <w:rPr>
          <w:rFonts w:ascii="Avenir Book" w:eastAsia="Avenir Book" w:hAnsi="Avenir Book" w:cs="Avenir Book"/>
          <w:b/>
          <w:bCs/>
          <w:caps/>
        </w:rPr>
        <w:t>Outcome:</w:t>
      </w:r>
    </w:p>
    <w:p w14:paraId="7FA9D5A6" w14:textId="2B0BAB1E" w:rsidR="009B28D9" w:rsidRDefault="00000000">
      <w:pPr>
        <w:spacing w:after="240" w:line="264" w:lineRule="auto"/>
      </w:pPr>
      <w:r>
        <w:rPr>
          <w:rFonts w:ascii="Avenir Book" w:eastAsia="Avenir Book" w:hAnsi="Avenir Book" w:cs="Avenir Book"/>
        </w:rPr>
        <w:t xml:space="preserve">POP’s ability to serve as a trusted expert </w:t>
      </w:r>
      <w:r w:rsidR="005551B2">
        <w:rPr>
          <w:rFonts w:ascii="Avenir Book" w:eastAsia="Avenir Book" w:hAnsi="Avenir Book" w:cs="Avenir Book"/>
        </w:rPr>
        <w:t xml:space="preserve">partner </w:t>
      </w:r>
      <w:r>
        <w:rPr>
          <w:rFonts w:ascii="Avenir Book" w:eastAsia="Avenir Book" w:hAnsi="Avenir Book" w:cs="Avenir Book"/>
        </w:rPr>
        <w:t xml:space="preserve">proved critical on this engagement. Working with a new group of Kyndryl clients and navigating reviews with Kyndryl leadership and VPs, POP </w:t>
      </w:r>
      <w:r w:rsidR="005551B2">
        <w:rPr>
          <w:rFonts w:ascii="Avenir Book" w:eastAsia="Avenir Book" w:hAnsi="Avenir Book" w:cs="Avenir Book"/>
        </w:rPr>
        <w:t>cemented their partnership value</w:t>
      </w:r>
      <w:r>
        <w:rPr>
          <w:rFonts w:ascii="Avenir Book" w:eastAsia="Avenir Book" w:hAnsi="Avenir Book" w:cs="Avenir Book"/>
        </w:rPr>
        <w:t xml:space="preserve"> by setting the foundation and vision for how thought leadership content would be represented across the site. When the timeline accelerated and an earlier go-live date became necessary, POP adapted quickly and delivered a solution that earned </w:t>
      </w:r>
      <w:r w:rsidR="005551B2">
        <w:rPr>
          <w:rFonts w:ascii="Avenir Book" w:eastAsia="Avenir Book" w:hAnsi="Avenir Book" w:cs="Avenir Book"/>
        </w:rPr>
        <w:t>kudos directly from the</w:t>
      </w:r>
      <w:r>
        <w:rPr>
          <w:rFonts w:ascii="Avenir Book" w:eastAsia="Avenir Book" w:hAnsi="Avenir Book" w:cs="Avenir Book"/>
        </w:rPr>
        <w:t xml:space="preserve"> Kyndryl </w:t>
      </w:r>
      <w:r>
        <w:rPr>
          <w:rFonts w:ascii="Avenir Book" w:eastAsia="Avenir Book" w:hAnsi="Avenir Book" w:cs="Avenir Book"/>
        </w:rPr>
        <w:lastRenderedPageBreak/>
        <w:t>CMO. The Insights Hub now provides Kyndryl with a modern, measurable platform for amplifying the expertise of the world’s largest IT infrastructure services provider.</w:t>
      </w:r>
    </w:p>
    <w:sectPr w:rsidR="009B28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267F9"/>
    <w:multiLevelType w:val="hybridMultilevel"/>
    <w:tmpl w:val="2EFE5630"/>
    <w:lvl w:ilvl="0" w:tplc="F8A46430">
      <w:start w:val="1"/>
      <w:numFmt w:val="bullet"/>
      <w:lvlText w:val="●"/>
      <w:lvlJc w:val="left"/>
      <w:pPr>
        <w:ind w:left="720" w:hanging="360"/>
      </w:pPr>
    </w:lvl>
    <w:lvl w:ilvl="1" w:tplc="FFCCBDBE">
      <w:start w:val="1"/>
      <w:numFmt w:val="bullet"/>
      <w:lvlText w:val="○"/>
      <w:lvlJc w:val="left"/>
      <w:pPr>
        <w:ind w:left="1440" w:hanging="360"/>
      </w:pPr>
    </w:lvl>
    <w:lvl w:ilvl="2" w:tplc="A3B2831E">
      <w:start w:val="1"/>
      <w:numFmt w:val="bullet"/>
      <w:lvlText w:val="■"/>
      <w:lvlJc w:val="left"/>
      <w:pPr>
        <w:ind w:left="2160" w:hanging="360"/>
      </w:pPr>
    </w:lvl>
    <w:lvl w:ilvl="3" w:tplc="80F246BA">
      <w:start w:val="1"/>
      <w:numFmt w:val="bullet"/>
      <w:lvlText w:val="●"/>
      <w:lvlJc w:val="left"/>
      <w:pPr>
        <w:ind w:left="2880" w:hanging="360"/>
      </w:pPr>
    </w:lvl>
    <w:lvl w:ilvl="4" w:tplc="AF2837C2">
      <w:start w:val="1"/>
      <w:numFmt w:val="bullet"/>
      <w:lvlText w:val="○"/>
      <w:lvlJc w:val="left"/>
      <w:pPr>
        <w:ind w:left="3600" w:hanging="360"/>
      </w:pPr>
    </w:lvl>
    <w:lvl w:ilvl="5" w:tplc="7952C4FC">
      <w:start w:val="1"/>
      <w:numFmt w:val="bullet"/>
      <w:lvlText w:val="■"/>
      <w:lvlJc w:val="left"/>
      <w:pPr>
        <w:ind w:left="4320" w:hanging="360"/>
      </w:pPr>
    </w:lvl>
    <w:lvl w:ilvl="6" w:tplc="75B4FA5C">
      <w:start w:val="1"/>
      <w:numFmt w:val="bullet"/>
      <w:lvlText w:val="●"/>
      <w:lvlJc w:val="left"/>
      <w:pPr>
        <w:ind w:left="5040" w:hanging="360"/>
      </w:pPr>
    </w:lvl>
    <w:lvl w:ilvl="7" w:tplc="25A0F28E">
      <w:start w:val="1"/>
      <w:numFmt w:val="bullet"/>
      <w:lvlText w:val="●"/>
      <w:lvlJc w:val="left"/>
      <w:pPr>
        <w:ind w:left="5760" w:hanging="360"/>
      </w:pPr>
    </w:lvl>
    <w:lvl w:ilvl="8" w:tplc="C34832A2">
      <w:start w:val="1"/>
      <w:numFmt w:val="bullet"/>
      <w:lvlText w:val="●"/>
      <w:lvlJc w:val="left"/>
      <w:pPr>
        <w:ind w:left="6480" w:hanging="360"/>
      </w:pPr>
    </w:lvl>
  </w:abstractNum>
  <w:num w:numId="1" w16cid:durableId="332336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8D9"/>
    <w:rsid w:val="00297A23"/>
    <w:rsid w:val="0048657A"/>
    <w:rsid w:val="005551B2"/>
    <w:rsid w:val="005F515E"/>
    <w:rsid w:val="009B28D9"/>
    <w:rsid w:val="00BF7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6C022A"/>
  <w15:docId w15:val="{AE8A56A0-1686-2D4A-BE30-39843141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428</Words>
  <Characters>2680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Dressler</dc:creator>
  <cp:keywords/>
  <dc:description/>
  <cp:lastModifiedBy>Chris Dressler</cp:lastModifiedBy>
  <cp:revision>4</cp:revision>
  <dcterms:created xsi:type="dcterms:W3CDTF">2026-02-18T22:53:00Z</dcterms:created>
  <dcterms:modified xsi:type="dcterms:W3CDTF">2026-02-18T23:21:00Z</dcterms:modified>
  <cp:category/>
</cp:coreProperties>
</file>