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CareSys Demo Accounts</w:t>
        <w:br/>
        <w:t>and Remaining Work</w:t>
      </w:r>
    </w:p>
    <w:p>
      <w:pPr>
        <w:spacing w:after="180"/>
      </w:pPr>
      <w:r>
        <w:t>23 October 2026  |  Local development access</w:t>
      </w:r>
    </w:p>
    <w:p>
      <w:r>
        <w:t>Use these accounts to review the local CareSys application. The remaining work on the next page identifies requirements that are still unfinished or depend on external services and policy decisions.</w:t>
      </w:r>
    </w:p>
    <w:p>
      <w:r>
        <w:rPr>
          <w:b/>
        </w:rPr>
        <w:t xml:space="preserve">Login: </w:t>
      </w:r>
      <w:r>
        <w:t>http://localhost:8080/login</w:t>
      </w:r>
      <w:r>
        <w:rPr>
          <w:b/>
        </w:rPr>
        <w:t xml:space="preserve">    Shared password: </w:t>
      </w:r>
      <w:r>
        <w:rPr>
          <w:b/>
        </w:rPr>
        <w:t>CareSysDemo!2026</w:t>
      </w:r>
    </w:p>
    <w:tbl>
      <w:tblPr>
        <w:tblW w:type="auto" w:w="0"/>
        <w:jc w:val="center"/>
        <w:tblLayout w:type="fixed"/>
        <w:tblLook w:firstColumn="1" w:firstRow="1" w:lastColumn="0" w:lastRow="0" w:noHBand="0" w:noVBand="1" w:val="04A0"/>
      </w:tblPr>
      <w:tblGrid>
        <w:gridCol w:w="2880"/>
        <w:gridCol w:w="1944"/>
        <w:gridCol w:w="5544"/>
      </w:tblGrid>
      <w:tr>
        <w:trPr>
          <w:tblHeader/>
          <w:cantSplit/>
        </w:trPr>
        <w:tc>
          <w:tcPr>
            <w:tcW w:type="dxa" w:w="2880"/>
            <w:vAlign w:val="center"/>
            <w:tcMar>
              <w:top w:w="65" w:type="dxa"/>
              <w:bottom w:w="65" w:type="dxa"/>
              <w:left w:w="85" w:type="dxa"/>
              <w:right w:w="85" w:type="dxa"/>
            </w:tcMar>
            <w:shd w:fill="35434A"/>
            <w:tcBorders>
              <w:top w:val="single" w:sz="4" w:color="D9D9D9"/>
              <w:left w:val="single" w:sz="4" w:color="D9D9D9"/>
              <w:bottom w:val="single" w:sz="4" w:color="D9D9D9"/>
              <w:right w:val="single" w:sz="4" w:color="D9D9D9"/>
            </w:tcBorders>
          </w:tcPr>
          <w:p>
            <w:pPr>
              <w:spacing w:after="0" w:line="247" w:lineRule="auto"/>
            </w:pPr>
            <w:r>
              <w:rPr>
                <w:b/>
                <w:color w:val="FFFFFF"/>
                <w:sz w:val="18"/>
              </w:rPr>
              <w:t>Email account</w:t>
            </w:r>
          </w:p>
        </w:tc>
        <w:tc>
          <w:tcPr>
            <w:tcW w:type="dxa" w:w="1944"/>
            <w:vAlign w:val="center"/>
            <w:tcMar>
              <w:top w:w="65" w:type="dxa"/>
              <w:bottom w:w="65" w:type="dxa"/>
              <w:left w:w="85" w:type="dxa"/>
              <w:right w:w="85" w:type="dxa"/>
            </w:tcMar>
            <w:shd w:fill="35434A"/>
            <w:tcBorders>
              <w:top w:val="single" w:sz="4" w:color="D9D9D9"/>
              <w:left w:val="single" w:sz="4" w:color="D9D9D9"/>
              <w:bottom w:val="single" w:sz="4" w:color="D9D9D9"/>
              <w:right w:val="single" w:sz="4" w:color="D9D9D9"/>
            </w:tcBorders>
          </w:tcPr>
          <w:p>
            <w:pPr>
              <w:spacing w:after="0" w:line="247" w:lineRule="auto"/>
            </w:pPr>
            <w:r>
              <w:rPr>
                <w:b/>
                <w:color w:val="FFFFFF"/>
                <w:sz w:val="18"/>
              </w:rPr>
              <w:t>Role</w:t>
            </w:r>
          </w:p>
        </w:tc>
        <w:tc>
          <w:tcPr>
            <w:tcW w:type="dxa" w:w="5544"/>
            <w:vAlign w:val="center"/>
            <w:tcMar>
              <w:top w:w="65" w:type="dxa"/>
              <w:bottom w:w="65" w:type="dxa"/>
              <w:left w:w="85" w:type="dxa"/>
              <w:right w:w="85" w:type="dxa"/>
            </w:tcMar>
            <w:shd w:fill="35434A"/>
            <w:tcBorders>
              <w:top w:val="single" w:sz="4" w:color="D9D9D9"/>
              <w:left w:val="single" w:sz="4" w:color="D9D9D9"/>
              <w:bottom w:val="single" w:sz="4" w:color="D9D9D9"/>
              <w:right w:val="single" w:sz="4" w:color="D9D9D9"/>
            </w:tcBorders>
          </w:tcPr>
          <w:p>
            <w:pPr>
              <w:spacing w:after="0" w:line="247" w:lineRule="auto"/>
            </w:pPr>
            <w:r>
              <w:rPr>
                <w:b/>
                <w:color w:val="FFFFFF"/>
                <w:sz w:val="18"/>
              </w:rPr>
              <w:t>Workspace and access</w:t>
            </w:r>
          </w:p>
        </w:tc>
      </w:tr>
      <w:tr>
        <w:trPr>
          <w:cantSplit/>
        </w:trPr>
        <w:tc>
          <w:tcPr>
            <w:tcW w:type="dxa" w:w="2880"/>
            <w:vAlign w:val="center"/>
            <w:tcMar>
              <w:top w:w="65" w:type="dxa"/>
              <w:bottom w:w="65" w:type="dxa"/>
              <w:left w:w="85" w:type="dxa"/>
              <w:right w:w="85" w:type="dxa"/>
            </w:tcMar>
            <w:shd w:fill="FFFFFF"/>
            <w:tcBorders>
              <w:top w:val="single" w:sz="4" w:color="D9D9D9"/>
              <w:left w:val="single" w:sz="4" w:color="D9D9D9"/>
              <w:bottom w:val="single" w:sz="4" w:color="D9D9D9"/>
              <w:right w:val="single" w:sz="4" w:color="D9D9D9"/>
            </w:tcBorders>
          </w:tcPr>
          <w:p>
            <w:pPr>
              <w:spacing w:after="0" w:line="247" w:lineRule="auto"/>
            </w:pPr>
            <w:r>
              <w:rPr>
                <w:sz w:val="18"/>
              </w:rPr>
              <w:t>platform@caresys.test</w:t>
            </w:r>
          </w:p>
        </w:tc>
        <w:tc>
          <w:tcPr>
            <w:tcW w:type="dxa" w:w="1944"/>
            <w:vAlign w:val="center"/>
            <w:tcMar>
              <w:top w:w="65" w:type="dxa"/>
              <w:bottom w:w="65" w:type="dxa"/>
              <w:left w:w="85" w:type="dxa"/>
              <w:right w:w="85" w:type="dxa"/>
            </w:tcMar>
            <w:shd w:fill="FFFFFF"/>
            <w:tcBorders>
              <w:top w:val="single" w:sz="4" w:color="D9D9D9"/>
              <w:left w:val="single" w:sz="4" w:color="D9D9D9"/>
              <w:bottom w:val="single" w:sz="4" w:color="D9D9D9"/>
              <w:right w:val="single" w:sz="4" w:color="D9D9D9"/>
            </w:tcBorders>
          </w:tcPr>
          <w:p>
            <w:pPr>
              <w:spacing w:after="0" w:line="247" w:lineRule="auto"/>
            </w:pPr>
            <w:r>
              <w:rPr>
                <w:sz w:val="18"/>
              </w:rPr>
              <w:t>Platform administrator</w:t>
            </w:r>
          </w:p>
        </w:tc>
        <w:tc>
          <w:tcPr>
            <w:tcW w:type="dxa" w:w="5544"/>
            <w:vAlign w:val="center"/>
            <w:tcMar>
              <w:top w:w="65" w:type="dxa"/>
              <w:bottom w:w="65" w:type="dxa"/>
              <w:left w:w="85" w:type="dxa"/>
              <w:right w:w="85" w:type="dxa"/>
            </w:tcMar>
            <w:shd w:fill="FFFFFF"/>
            <w:tcBorders>
              <w:top w:val="single" w:sz="4" w:color="D9D9D9"/>
              <w:left w:val="single" w:sz="4" w:color="D9D9D9"/>
              <w:bottom w:val="single" w:sz="4" w:color="D9D9D9"/>
              <w:right w:val="single" w:sz="4" w:color="D9D9D9"/>
            </w:tcBorders>
          </w:tcPr>
          <w:p>
            <w:pPr>
              <w:spacing w:after="0" w:line="247" w:lineRule="auto"/>
            </w:pPr>
            <w:r>
              <w:rPr>
                <w:sz w:val="18"/>
              </w:rPr>
              <w:t>Agency verification, manual commercial agreements, disputes, provider queue. No automatic tenant content access.</w:t>
            </w:r>
          </w:p>
        </w:tc>
      </w:tr>
      <w:tr>
        <w:trPr>
          <w:cantSplit/>
        </w:trPr>
        <w:tc>
          <w:tcPr>
            <w:tcW w:type="dxa" w:w="2880"/>
            <w:vAlign w:val="center"/>
            <w:tcMar>
              <w:top w:w="65" w:type="dxa"/>
              <w:bottom w:w="65" w:type="dxa"/>
              <w:left w:w="85" w:type="dxa"/>
              <w:right w:w="85" w:type="dxa"/>
            </w:tcMar>
            <w:shd w:fill="F3F5F6"/>
            <w:tcBorders>
              <w:top w:val="single" w:sz="4" w:color="D9D9D9"/>
              <w:left w:val="single" w:sz="4" w:color="D9D9D9"/>
              <w:bottom w:val="single" w:sz="4" w:color="D9D9D9"/>
              <w:right w:val="single" w:sz="4" w:color="D9D9D9"/>
            </w:tcBorders>
          </w:tcPr>
          <w:p>
            <w:pPr>
              <w:spacing w:after="0" w:line="247" w:lineRule="auto"/>
            </w:pPr>
            <w:r>
              <w:rPr>
                <w:sz w:val="18"/>
              </w:rPr>
              <w:t>owner@caresys.test</w:t>
            </w:r>
          </w:p>
        </w:tc>
        <w:tc>
          <w:tcPr>
            <w:tcW w:type="dxa" w:w="1944"/>
            <w:vAlign w:val="center"/>
            <w:tcMar>
              <w:top w:w="65" w:type="dxa"/>
              <w:bottom w:w="65" w:type="dxa"/>
              <w:left w:w="85" w:type="dxa"/>
              <w:right w:w="85" w:type="dxa"/>
            </w:tcMar>
            <w:shd w:fill="F3F5F6"/>
            <w:tcBorders>
              <w:top w:val="single" w:sz="4" w:color="D9D9D9"/>
              <w:left w:val="single" w:sz="4" w:color="D9D9D9"/>
              <w:bottom w:val="single" w:sz="4" w:color="D9D9D9"/>
              <w:right w:val="single" w:sz="4" w:color="D9D9D9"/>
            </w:tcBorders>
          </w:tcPr>
          <w:p>
            <w:pPr>
              <w:spacing w:after="0" w:line="247" w:lineRule="auto"/>
            </w:pPr>
            <w:r>
              <w:rPr>
                <w:sz w:val="18"/>
              </w:rPr>
              <w:t>Agency owner</w:t>
            </w:r>
          </w:p>
        </w:tc>
        <w:tc>
          <w:tcPr>
            <w:tcW w:type="dxa" w:w="5544"/>
            <w:vAlign w:val="center"/>
            <w:tcMar>
              <w:top w:w="65" w:type="dxa"/>
              <w:bottom w:w="65" w:type="dxa"/>
              <w:left w:w="85" w:type="dxa"/>
              <w:right w:w="85" w:type="dxa"/>
            </w:tcMar>
            <w:shd w:fill="F3F5F6"/>
            <w:tcBorders>
              <w:top w:val="single" w:sz="4" w:color="D9D9D9"/>
              <w:left w:val="single" w:sz="4" w:color="D9D9D9"/>
              <w:bottom w:val="single" w:sz="4" w:color="D9D9D9"/>
              <w:right w:val="single" w:sz="4" w:color="D9D9D9"/>
            </w:tcBorders>
          </w:tcPr>
          <w:p>
            <w:pPr>
              <w:spacing w:after="0" w:line="247" w:lineRule="auto"/>
            </w:pPr>
            <w:r>
              <w:rPr>
                <w:sz w:val="18"/>
              </w:rPr>
              <w:t>Willow agency owner; all purchased agency modules</w:t>
            </w:r>
          </w:p>
        </w:tc>
      </w:tr>
      <w:tr>
        <w:trPr>
          <w:cantSplit/>
        </w:trPr>
        <w:tc>
          <w:tcPr>
            <w:tcW w:type="dxa" w:w="2880"/>
            <w:vAlign w:val="center"/>
            <w:tcMar>
              <w:top w:w="65" w:type="dxa"/>
              <w:bottom w:w="65" w:type="dxa"/>
              <w:left w:w="85" w:type="dxa"/>
              <w:right w:w="85" w:type="dxa"/>
            </w:tcMar>
            <w:shd w:fill="FFFFFF"/>
            <w:tcBorders>
              <w:top w:val="single" w:sz="4" w:color="D9D9D9"/>
              <w:left w:val="single" w:sz="4" w:color="D9D9D9"/>
              <w:bottom w:val="single" w:sz="4" w:color="D9D9D9"/>
              <w:right w:val="single" w:sz="4" w:color="D9D9D9"/>
            </w:tcBorders>
          </w:tcPr>
          <w:p>
            <w:pPr>
              <w:spacing w:after="0" w:line="247" w:lineRule="auto"/>
            </w:pPr>
            <w:r>
              <w:rPr>
                <w:sz w:val="18"/>
              </w:rPr>
              <w:t>recruiter@caresys.test</w:t>
            </w:r>
          </w:p>
        </w:tc>
        <w:tc>
          <w:tcPr>
            <w:tcW w:type="dxa" w:w="1944"/>
            <w:vAlign w:val="center"/>
            <w:tcMar>
              <w:top w:w="65" w:type="dxa"/>
              <w:bottom w:w="65" w:type="dxa"/>
              <w:left w:w="85" w:type="dxa"/>
              <w:right w:w="85" w:type="dxa"/>
            </w:tcMar>
            <w:shd w:fill="FFFFFF"/>
            <w:tcBorders>
              <w:top w:val="single" w:sz="4" w:color="D9D9D9"/>
              <w:left w:val="single" w:sz="4" w:color="D9D9D9"/>
              <w:bottom w:val="single" w:sz="4" w:color="D9D9D9"/>
              <w:right w:val="single" w:sz="4" w:color="D9D9D9"/>
            </w:tcBorders>
          </w:tcPr>
          <w:p>
            <w:pPr>
              <w:spacing w:after="0" w:line="247" w:lineRule="auto"/>
            </w:pPr>
            <w:r>
              <w:rPr>
                <w:sz w:val="18"/>
              </w:rPr>
              <w:t>Recruiter</w:t>
            </w:r>
          </w:p>
        </w:tc>
        <w:tc>
          <w:tcPr>
            <w:tcW w:type="dxa" w:w="5544"/>
            <w:vAlign w:val="center"/>
            <w:tcMar>
              <w:top w:w="65" w:type="dxa"/>
              <w:bottom w:w="65" w:type="dxa"/>
              <w:left w:w="85" w:type="dxa"/>
              <w:right w:w="85" w:type="dxa"/>
            </w:tcMar>
            <w:shd w:fill="FFFFFF"/>
            <w:tcBorders>
              <w:top w:val="single" w:sz="4" w:color="D9D9D9"/>
              <w:left w:val="single" w:sz="4" w:color="D9D9D9"/>
              <w:bottom w:val="single" w:sz="4" w:color="D9D9D9"/>
              <w:right w:val="single" w:sz="4" w:color="D9D9D9"/>
            </w:tcBorders>
          </w:tcPr>
          <w:p>
            <w:pPr>
              <w:spacing w:after="0" w:line="247" w:lineRule="auto"/>
            </w:pPr>
            <w:r>
              <w:rPr>
                <w:sz w:val="18"/>
              </w:rPr>
              <w:t>Willow recruitment, history requests, contracts and joining</w:t>
            </w:r>
          </w:p>
        </w:tc>
      </w:tr>
      <w:tr>
        <w:trPr>
          <w:cantSplit/>
        </w:trPr>
        <w:tc>
          <w:tcPr>
            <w:tcW w:type="dxa" w:w="2880"/>
            <w:vAlign w:val="center"/>
            <w:tcMar>
              <w:top w:w="65" w:type="dxa"/>
              <w:bottom w:w="65" w:type="dxa"/>
              <w:left w:w="85" w:type="dxa"/>
              <w:right w:w="85" w:type="dxa"/>
            </w:tcMar>
            <w:shd w:fill="F3F5F6"/>
            <w:tcBorders>
              <w:top w:val="single" w:sz="4" w:color="D9D9D9"/>
              <w:left w:val="single" w:sz="4" w:color="D9D9D9"/>
              <w:bottom w:val="single" w:sz="4" w:color="D9D9D9"/>
              <w:right w:val="single" w:sz="4" w:color="D9D9D9"/>
            </w:tcBorders>
          </w:tcPr>
          <w:p>
            <w:pPr>
              <w:spacing w:after="0" w:line="247" w:lineRule="auto"/>
            </w:pPr>
            <w:r>
              <w:rPr>
                <w:sz w:val="18"/>
              </w:rPr>
              <w:t>scheduler@caresys.test</w:t>
            </w:r>
          </w:p>
        </w:tc>
        <w:tc>
          <w:tcPr>
            <w:tcW w:type="dxa" w:w="1944"/>
            <w:vAlign w:val="center"/>
            <w:tcMar>
              <w:top w:w="65" w:type="dxa"/>
              <w:bottom w:w="65" w:type="dxa"/>
              <w:left w:w="85" w:type="dxa"/>
              <w:right w:w="85" w:type="dxa"/>
            </w:tcMar>
            <w:shd w:fill="F3F5F6"/>
            <w:tcBorders>
              <w:top w:val="single" w:sz="4" w:color="D9D9D9"/>
              <w:left w:val="single" w:sz="4" w:color="D9D9D9"/>
              <w:bottom w:val="single" w:sz="4" w:color="D9D9D9"/>
              <w:right w:val="single" w:sz="4" w:color="D9D9D9"/>
            </w:tcBorders>
          </w:tcPr>
          <w:p>
            <w:pPr>
              <w:spacing w:after="0" w:line="247" w:lineRule="auto"/>
            </w:pPr>
            <w:r>
              <w:rPr>
                <w:sz w:val="18"/>
              </w:rPr>
              <w:t>Scheduler</w:t>
            </w:r>
          </w:p>
        </w:tc>
        <w:tc>
          <w:tcPr>
            <w:tcW w:type="dxa" w:w="5544"/>
            <w:vAlign w:val="center"/>
            <w:tcMar>
              <w:top w:w="65" w:type="dxa"/>
              <w:bottom w:w="65" w:type="dxa"/>
              <w:left w:w="85" w:type="dxa"/>
              <w:right w:w="85" w:type="dxa"/>
            </w:tcMar>
            <w:shd w:fill="F3F5F6"/>
            <w:tcBorders>
              <w:top w:val="single" w:sz="4" w:color="D9D9D9"/>
              <w:left w:val="single" w:sz="4" w:color="D9D9D9"/>
              <w:bottom w:val="single" w:sz="4" w:color="D9D9D9"/>
              <w:right w:val="single" w:sz="4" w:color="D9D9D9"/>
            </w:tcBorders>
          </w:tcPr>
          <w:p>
            <w:pPr>
              <w:spacing w:after="0" w:line="247" w:lineRule="auto"/>
            </w:pPr>
            <w:r>
              <w:rPr>
                <w:sz w:val="18"/>
              </w:rPr>
              <w:t>Willow scheduling, people, care and operational reports</w:t>
            </w:r>
          </w:p>
        </w:tc>
      </w:tr>
      <w:tr>
        <w:trPr>
          <w:cantSplit/>
        </w:trPr>
        <w:tc>
          <w:tcPr>
            <w:tcW w:type="dxa" w:w="2880"/>
            <w:vAlign w:val="center"/>
            <w:tcMar>
              <w:top w:w="65" w:type="dxa"/>
              <w:bottom w:w="65" w:type="dxa"/>
              <w:left w:w="85" w:type="dxa"/>
              <w:right w:w="85" w:type="dxa"/>
            </w:tcMar>
            <w:shd w:fill="FFFFFF"/>
            <w:tcBorders>
              <w:top w:val="single" w:sz="4" w:color="D9D9D9"/>
              <w:left w:val="single" w:sz="4" w:color="D9D9D9"/>
              <w:bottom w:val="single" w:sz="4" w:color="D9D9D9"/>
              <w:right w:val="single" w:sz="4" w:color="D9D9D9"/>
            </w:tcBorders>
          </w:tcPr>
          <w:p>
            <w:pPr>
              <w:spacing w:after="0" w:line="247" w:lineRule="auto"/>
            </w:pPr>
            <w:r>
              <w:rPr>
                <w:sz w:val="18"/>
              </w:rPr>
              <w:t>supervisor@caresys.test</w:t>
            </w:r>
          </w:p>
        </w:tc>
        <w:tc>
          <w:tcPr>
            <w:tcW w:type="dxa" w:w="1944"/>
            <w:vAlign w:val="center"/>
            <w:tcMar>
              <w:top w:w="65" w:type="dxa"/>
              <w:bottom w:w="65" w:type="dxa"/>
              <w:left w:w="85" w:type="dxa"/>
              <w:right w:w="85" w:type="dxa"/>
            </w:tcMar>
            <w:shd w:fill="FFFFFF"/>
            <w:tcBorders>
              <w:top w:val="single" w:sz="4" w:color="D9D9D9"/>
              <w:left w:val="single" w:sz="4" w:color="D9D9D9"/>
              <w:bottom w:val="single" w:sz="4" w:color="D9D9D9"/>
              <w:right w:val="single" w:sz="4" w:color="D9D9D9"/>
            </w:tcBorders>
          </w:tcPr>
          <w:p>
            <w:pPr>
              <w:spacing w:after="0" w:line="247" w:lineRule="auto"/>
            </w:pPr>
            <w:r>
              <w:rPr>
                <w:sz w:val="18"/>
              </w:rPr>
              <w:t>Supervisor</w:t>
            </w:r>
          </w:p>
        </w:tc>
        <w:tc>
          <w:tcPr>
            <w:tcW w:type="dxa" w:w="5544"/>
            <w:vAlign w:val="center"/>
            <w:tcMar>
              <w:top w:w="65" w:type="dxa"/>
              <w:bottom w:w="65" w:type="dxa"/>
              <w:left w:w="85" w:type="dxa"/>
              <w:right w:w="85" w:type="dxa"/>
            </w:tcMar>
            <w:shd w:fill="FFFFFF"/>
            <w:tcBorders>
              <w:top w:val="single" w:sz="4" w:color="D9D9D9"/>
              <w:left w:val="single" w:sz="4" w:color="D9D9D9"/>
              <w:bottom w:val="single" w:sz="4" w:color="D9D9D9"/>
              <w:right w:val="single" w:sz="4" w:color="D9D9D9"/>
            </w:tcBorders>
          </w:tcPr>
          <w:p>
            <w:pPr>
              <w:spacing w:after="0" w:line="247" w:lineRule="auto"/>
            </w:pPr>
            <w:r>
              <w:rPr>
                <w:sz w:val="18"/>
              </w:rPr>
              <w:t>Willow operational approvals, people, care, assets and expenses</w:t>
            </w:r>
          </w:p>
        </w:tc>
      </w:tr>
      <w:tr>
        <w:trPr>
          <w:cantSplit/>
        </w:trPr>
        <w:tc>
          <w:tcPr>
            <w:tcW w:type="dxa" w:w="2880"/>
            <w:vAlign w:val="center"/>
            <w:tcMar>
              <w:top w:w="65" w:type="dxa"/>
              <w:bottom w:w="65" w:type="dxa"/>
              <w:left w:w="85" w:type="dxa"/>
              <w:right w:w="85" w:type="dxa"/>
            </w:tcMar>
            <w:shd w:fill="F3F5F6"/>
            <w:tcBorders>
              <w:top w:val="single" w:sz="4" w:color="D9D9D9"/>
              <w:left w:val="single" w:sz="4" w:color="D9D9D9"/>
              <w:bottom w:val="single" w:sz="4" w:color="D9D9D9"/>
              <w:right w:val="single" w:sz="4" w:color="D9D9D9"/>
            </w:tcBorders>
          </w:tcPr>
          <w:p>
            <w:pPr>
              <w:spacing w:after="0" w:line="247" w:lineRule="auto"/>
            </w:pPr>
            <w:r>
              <w:rPr>
                <w:sz w:val="18"/>
              </w:rPr>
              <w:t>finance@caresys.test</w:t>
            </w:r>
          </w:p>
        </w:tc>
        <w:tc>
          <w:tcPr>
            <w:tcW w:type="dxa" w:w="1944"/>
            <w:vAlign w:val="center"/>
            <w:tcMar>
              <w:top w:w="65" w:type="dxa"/>
              <w:bottom w:w="65" w:type="dxa"/>
              <w:left w:w="85" w:type="dxa"/>
              <w:right w:w="85" w:type="dxa"/>
            </w:tcMar>
            <w:shd w:fill="F3F5F6"/>
            <w:tcBorders>
              <w:top w:val="single" w:sz="4" w:color="D9D9D9"/>
              <w:left w:val="single" w:sz="4" w:color="D9D9D9"/>
              <w:bottom w:val="single" w:sz="4" w:color="D9D9D9"/>
              <w:right w:val="single" w:sz="4" w:color="D9D9D9"/>
            </w:tcBorders>
          </w:tcPr>
          <w:p>
            <w:pPr>
              <w:spacing w:after="0" w:line="247" w:lineRule="auto"/>
            </w:pPr>
            <w:r>
              <w:rPr>
                <w:sz w:val="18"/>
              </w:rPr>
              <w:t>Finance officer</w:t>
            </w:r>
          </w:p>
        </w:tc>
        <w:tc>
          <w:tcPr>
            <w:tcW w:type="dxa" w:w="5544"/>
            <w:vAlign w:val="center"/>
            <w:tcMar>
              <w:top w:w="65" w:type="dxa"/>
              <w:bottom w:w="65" w:type="dxa"/>
              <w:left w:w="85" w:type="dxa"/>
              <w:right w:w="85" w:type="dxa"/>
            </w:tcMar>
            <w:shd w:fill="F3F5F6"/>
            <w:tcBorders>
              <w:top w:val="single" w:sz="4" w:color="D9D9D9"/>
              <w:left w:val="single" w:sz="4" w:color="D9D9D9"/>
              <w:bottom w:val="single" w:sz="4" w:color="D9D9D9"/>
              <w:right w:val="single" w:sz="4" w:color="D9D9D9"/>
            </w:tcBorders>
          </w:tcPr>
          <w:p>
            <w:pPr>
              <w:spacing w:after="0" w:line="247" w:lineRule="auto"/>
            </w:pPr>
            <w:r>
              <w:rPr>
                <w:sz w:val="18"/>
              </w:rPr>
              <w:t>Willow payroll mapping/export, expenses, invoices and receipts</w:t>
            </w:r>
          </w:p>
        </w:tc>
      </w:tr>
      <w:tr>
        <w:trPr>
          <w:cantSplit/>
        </w:trPr>
        <w:tc>
          <w:tcPr>
            <w:tcW w:type="dxa" w:w="2880"/>
            <w:vAlign w:val="center"/>
            <w:tcMar>
              <w:top w:w="65" w:type="dxa"/>
              <w:bottom w:w="65" w:type="dxa"/>
              <w:left w:w="85" w:type="dxa"/>
              <w:right w:w="85" w:type="dxa"/>
            </w:tcMar>
            <w:shd w:fill="FFFFFF"/>
            <w:tcBorders>
              <w:top w:val="single" w:sz="4" w:color="D9D9D9"/>
              <w:left w:val="single" w:sz="4" w:color="D9D9D9"/>
              <w:bottom w:val="single" w:sz="4" w:color="D9D9D9"/>
              <w:right w:val="single" w:sz="4" w:color="D9D9D9"/>
            </w:tcBorders>
          </w:tcPr>
          <w:p>
            <w:pPr>
              <w:spacing w:after="0" w:line="247" w:lineRule="auto"/>
            </w:pPr>
            <w:r>
              <w:rPr>
                <w:sz w:val="18"/>
              </w:rPr>
              <w:t>caregiver@caresys.test</w:t>
            </w:r>
          </w:p>
        </w:tc>
        <w:tc>
          <w:tcPr>
            <w:tcW w:type="dxa" w:w="1944"/>
            <w:vAlign w:val="center"/>
            <w:tcMar>
              <w:top w:w="65" w:type="dxa"/>
              <w:bottom w:w="65" w:type="dxa"/>
              <w:left w:w="85" w:type="dxa"/>
              <w:right w:w="85" w:type="dxa"/>
            </w:tcMar>
            <w:shd w:fill="FFFFFF"/>
            <w:tcBorders>
              <w:top w:val="single" w:sz="4" w:color="D9D9D9"/>
              <w:left w:val="single" w:sz="4" w:color="D9D9D9"/>
              <w:bottom w:val="single" w:sz="4" w:color="D9D9D9"/>
              <w:right w:val="single" w:sz="4" w:color="D9D9D9"/>
            </w:tcBorders>
          </w:tcPr>
          <w:p>
            <w:pPr>
              <w:spacing w:after="0" w:line="247" w:lineRule="auto"/>
            </w:pPr>
            <w:r>
              <w:rPr>
                <w:sz w:val="18"/>
              </w:rPr>
              <w:t>Caregiver</w:t>
            </w:r>
          </w:p>
        </w:tc>
        <w:tc>
          <w:tcPr>
            <w:tcW w:type="dxa" w:w="5544"/>
            <w:vAlign w:val="center"/>
            <w:tcMar>
              <w:top w:w="65" w:type="dxa"/>
              <w:bottom w:w="65" w:type="dxa"/>
              <w:left w:w="85" w:type="dxa"/>
              <w:right w:w="85" w:type="dxa"/>
            </w:tcMar>
            <w:shd w:fill="FFFFFF"/>
            <w:tcBorders>
              <w:top w:val="single" w:sz="4" w:color="D9D9D9"/>
              <w:left w:val="single" w:sz="4" w:color="D9D9D9"/>
              <w:bottom w:val="single" w:sz="4" w:color="D9D9D9"/>
              <w:right w:val="single" w:sz="4" w:color="D9D9D9"/>
            </w:tcBorders>
          </w:tcPr>
          <w:p>
            <w:pPr>
              <w:spacing w:after="0" w:line="247" w:lineRule="auto"/>
            </w:pPr>
            <w:r>
              <w:rPr>
                <w:sz w:val="18"/>
              </w:rPr>
              <w:t>Willow worker; assigned visits, clocks, notes, leave and expenses</w:t>
            </w:r>
          </w:p>
        </w:tc>
      </w:tr>
      <w:tr>
        <w:trPr>
          <w:cantSplit/>
        </w:trPr>
        <w:tc>
          <w:tcPr>
            <w:tcW w:type="dxa" w:w="2880"/>
            <w:vAlign w:val="center"/>
            <w:tcMar>
              <w:top w:w="65" w:type="dxa"/>
              <w:bottom w:w="65" w:type="dxa"/>
              <w:left w:w="85" w:type="dxa"/>
              <w:right w:w="85" w:type="dxa"/>
            </w:tcMar>
            <w:shd w:fill="F3F5F6"/>
            <w:tcBorders>
              <w:top w:val="single" w:sz="4" w:color="D9D9D9"/>
              <w:left w:val="single" w:sz="4" w:color="D9D9D9"/>
              <w:bottom w:val="single" w:sz="4" w:color="D9D9D9"/>
              <w:right w:val="single" w:sz="4" w:color="D9D9D9"/>
            </w:tcBorders>
          </w:tcPr>
          <w:p>
            <w:pPr>
              <w:spacing w:after="0" w:line="247" w:lineRule="auto"/>
            </w:pPr>
            <w:r>
              <w:rPr>
                <w:sz w:val="18"/>
              </w:rPr>
              <w:t>candidate@caresys.test</w:t>
            </w:r>
          </w:p>
        </w:tc>
        <w:tc>
          <w:tcPr>
            <w:tcW w:type="dxa" w:w="1944"/>
            <w:vAlign w:val="center"/>
            <w:tcMar>
              <w:top w:w="65" w:type="dxa"/>
              <w:bottom w:w="65" w:type="dxa"/>
              <w:left w:w="85" w:type="dxa"/>
              <w:right w:w="85" w:type="dxa"/>
            </w:tcMar>
            <w:shd w:fill="F3F5F6"/>
            <w:tcBorders>
              <w:top w:val="single" w:sz="4" w:color="D9D9D9"/>
              <w:left w:val="single" w:sz="4" w:color="D9D9D9"/>
              <w:bottom w:val="single" w:sz="4" w:color="D9D9D9"/>
              <w:right w:val="single" w:sz="4" w:color="D9D9D9"/>
            </w:tcBorders>
          </w:tcPr>
          <w:p>
            <w:pPr>
              <w:spacing w:after="0" w:line="247" w:lineRule="auto"/>
            </w:pPr>
            <w:r>
              <w:rPr>
                <w:sz w:val="18"/>
              </w:rPr>
              <w:t>Independent candidate</w:t>
            </w:r>
          </w:p>
        </w:tc>
        <w:tc>
          <w:tcPr>
            <w:tcW w:type="dxa" w:w="5544"/>
            <w:vAlign w:val="center"/>
            <w:tcMar>
              <w:top w:w="65" w:type="dxa"/>
              <w:bottom w:w="65" w:type="dxa"/>
              <w:left w:w="85" w:type="dxa"/>
              <w:right w:w="85" w:type="dxa"/>
            </w:tcMar>
            <w:shd w:fill="F3F5F6"/>
            <w:tcBorders>
              <w:top w:val="single" w:sz="4" w:color="D9D9D9"/>
              <w:left w:val="single" w:sz="4" w:color="D9D9D9"/>
              <w:bottom w:val="single" w:sz="4" w:color="D9D9D9"/>
              <w:right w:val="single" w:sz="4" w:color="D9D9D9"/>
            </w:tcBorders>
          </w:tcPr>
          <w:p>
            <w:pPr>
              <w:spacing w:after="0" w:line="247" w:lineRule="auto"/>
            </w:pPr>
            <w:r>
              <w:rPr>
                <w:sz w:val="18"/>
              </w:rPr>
              <w:t>Independent candidate with a discoverable profile and an application</w:t>
            </w:r>
          </w:p>
        </w:tc>
      </w:tr>
      <w:tr>
        <w:trPr>
          <w:cantSplit/>
        </w:trPr>
        <w:tc>
          <w:tcPr>
            <w:tcW w:type="dxa" w:w="2880"/>
            <w:vAlign w:val="center"/>
            <w:tcMar>
              <w:top w:w="65" w:type="dxa"/>
              <w:bottom w:w="65" w:type="dxa"/>
              <w:left w:w="85" w:type="dxa"/>
              <w:right w:w="85" w:type="dxa"/>
            </w:tcMar>
            <w:shd w:fill="FFFFFF"/>
            <w:tcBorders>
              <w:top w:val="single" w:sz="4" w:color="D9D9D9"/>
              <w:left w:val="single" w:sz="4" w:color="D9D9D9"/>
              <w:bottom w:val="single" w:sz="4" w:color="D9D9D9"/>
              <w:right w:val="single" w:sz="4" w:color="D9D9D9"/>
            </w:tcBorders>
          </w:tcPr>
          <w:p>
            <w:pPr>
              <w:spacing w:after="0" w:line="247" w:lineRule="auto"/>
            </w:pPr>
            <w:r>
              <w:rPr>
                <w:sz w:val="18"/>
              </w:rPr>
              <w:t>former@caresys.test</w:t>
            </w:r>
          </w:p>
        </w:tc>
        <w:tc>
          <w:tcPr>
            <w:tcW w:type="dxa" w:w="1944"/>
            <w:vAlign w:val="center"/>
            <w:tcMar>
              <w:top w:w="65" w:type="dxa"/>
              <w:bottom w:w="65" w:type="dxa"/>
              <w:left w:w="85" w:type="dxa"/>
              <w:right w:w="85" w:type="dxa"/>
            </w:tcMar>
            <w:shd w:fill="FFFFFF"/>
            <w:tcBorders>
              <w:top w:val="single" w:sz="4" w:color="D9D9D9"/>
              <w:left w:val="single" w:sz="4" w:color="D9D9D9"/>
              <w:bottom w:val="single" w:sz="4" w:color="D9D9D9"/>
              <w:right w:val="single" w:sz="4" w:color="D9D9D9"/>
            </w:tcBorders>
          </w:tcPr>
          <w:p>
            <w:pPr>
              <w:spacing w:after="0" w:line="247" w:lineRule="auto"/>
            </w:pPr>
            <w:r>
              <w:rPr>
                <w:sz w:val="18"/>
              </w:rPr>
              <w:t>Former employee</w:t>
            </w:r>
          </w:p>
        </w:tc>
        <w:tc>
          <w:tcPr>
            <w:tcW w:type="dxa" w:w="5544"/>
            <w:vAlign w:val="center"/>
            <w:tcMar>
              <w:top w:w="65" w:type="dxa"/>
              <w:bottom w:w="65" w:type="dxa"/>
              <w:left w:w="85" w:type="dxa"/>
              <w:right w:w="85" w:type="dxa"/>
            </w:tcMar>
            <w:shd w:fill="FFFFFF"/>
            <w:tcBorders>
              <w:top w:val="single" w:sz="4" w:color="D9D9D9"/>
              <w:left w:val="single" w:sz="4" w:color="D9D9D9"/>
              <w:bottom w:val="single" w:sz="4" w:color="D9D9D9"/>
              <w:right w:val="single" w:sz="4" w:color="D9D9D9"/>
            </w:tcBorders>
          </w:tcPr>
          <w:p>
            <w:pPr>
              <w:spacing w:after="0" w:line="247" w:lineRule="auto"/>
            </w:pPr>
            <w:r>
              <w:rPr>
                <w:sz w:val="18"/>
              </w:rPr>
              <w:t>Former employee; independent profile and source-labelled career history</w:t>
            </w:r>
          </w:p>
        </w:tc>
      </w:tr>
      <w:tr>
        <w:trPr>
          <w:cantSplit/>
        </w:trPr>
        <w:tc>
          <w:tcPr>
            <w:tcW w:type="dxa" w:w="2880"/>
            <w:vAlign w:val="center"/>
            <w:tcMar>
              <w:top w:w="65" w:type="dxa"/>
              <w:bottom w:w="65" w:type="dxa"/>
              <w:left w:w="85" w:type="dxa"/>
              <w:right w:w="85" w:type="dxa"/>
            </w:tcMar>
            <w:shd w:fill="F3F5F6"/>
            <w:tcBorders>
              <w:top w:val="single" w:sz="4" w:color="D9D9D9"/>
              <w:left w:val="single" w:sz="4" w:color="D9D9D9"/>
              <w:bottom w:val="single" w:sz="4" w:color="D9D9D9"/>
              <w:right w:val="single" w:sz="4" w:color="D9D9D9"/>
            </w:tcBorders>
          </w:tcPr>
          <w:p>
            <w:pPr>
              <w:spacing w:after="0" w:line="247" w:lineRule="auto"/>
            </w:pPr>
            <w:r>
              <w:rPr>
                <w:sz w:val="18"/>
              </w:rPr>
              <w:t>unresolved@caresys.test</w:t>
            </w:r>
          </w:p>
        </w:tc>
        <w:tc>
          <w:tcPr>
            <w:tcW w:type="dxa" w:w="1944"/>
            <w:vAlign w:val="center"/>
            <w:tcMar>
              <w:top w:w="65" w:type="dxa"/>
              <w:bottom w:w="65" w:type="dxa"/>
              <w:left w:w="85" w:type="dxa"/>
              <w:right w:w="85" w:type="dxa"/>
            </w:tcMar>
            <w:shd w:fill="F3F5F6"/>
            <w:tcBorders>
              <w:top w:val="single" w:sz="4" w:color="D9D9D9"/>
              <w:left w:val="single" w:sz="4" w:color="D9D9D9"/>
              <w:bottom w:val="single" w:sz="4" w:color="D9D9D9"/>
              <w:right w:val="single" w:sz="4" w:color="D9D9D9"/>
            </w:tcBorders>
          </w:tcPr>
          <w:p>
            <w:pPr>
              <w:spacing w:after="0" w:line="247" w:lineRule="auto"/>
            </w:pPr>
            <w:r>
              <w:rPr>
                <w:sz w:val="18"/>
              </w:rPr>
              <w:t>Identity review candidate</w:t>
            </w:r>
          </w:p>
        </w:tc>
        <w:tc>
          <w:tcPr>
            <w:tcW w:type="dxa" w:w="5544"/>
            <w:vAlign w:val="center"/>
            <w:tcMar>
              <w:top w:w="65" w:type="dxa"/>
              <w:bottom w:w="65" w:type="dxa"/>
              <w:left w:w="85" w:type="dxa"/>
              <w:right w:w="85" w:type="dxa"/>
            </w:tcMar>
            <w:shd w:fill="F3F5F6"/>
            <w:tcBorders>
              <w:top w:val="single" w:sz="4" w:color="D9D9D9"/>
              <w:left w:val="single" w:sz="4" w:color="D9D9D9"/>
              <w:bottom w:val="single" w:sz="4" w:color="D9D9D9"/>
              <w:right w:val="single" w:sz="4" w:color="D9D9D9"/>
            </w:tcBorders>
          </w:tcPr>
          <w:p>
            <w:pPr>
              <w:spacing w:after="0" w:line="247" w:lineRule="auto"/>
            </w:pPr>
            <w:r>
              <w:rPr>
                <w:sz w:val="18"/>
              </w:rPr>
              <w:t>Private candidate with unresolved identity; not eligible for protected joining</w:t>
            </w:r>
          </w:p>
        </w:tc>
      </w:tr>
      <w:tr>
        <w:trPr>
          <w:cantSplit/>
        </w:trPr>
        <w:tc>
          <w:tcPr>
            <w:tcW w:type="dxa" w:w="2880"/>
            <w:vAlign w:val="center"/>
            <w:tcMar>
              <w:top w:w="65" w:type="dxa"/>
              <w:bottom w:w="65" w:type="dxa"/>
              <w:left w:w="85" w:type="dxa"/>
              <w:right w:w="85" w:type="dxa"/>
            </w:tcMar>
            <w:shd w:fill="FFFFFF"/>
            <w:tcBorders>
              <w:top w:val="single" w:sz="4" w:color="D9D9D9"/>
              <w:left w:val="single" w:sz="4" w:color="D9D9D9"/>
              <w:bottom w:val="single" w:sz="4" w:color="D9D9D9"/>
              <w:right w:val="single" w:sz="4" w:color="D9D9D9"/>
            </w:tcBorders>
          </w:tcPr>
          <w:p>
            <w:pPr>
              <w:spacing w:after="0" w:line="247" w:lineRule="auto"/>
            </w:pPr>
            <w:r>
              <w:rPr>
                <w:sz w:val="18"/>
              </w:rPr>
              <w:t>owner2@caresys.test</w:t>
            </w:r>
          </w:p>
        </w:tc>
        <w:tc>
          <w:tcPr>
            <w:tcW w:type="dxa" w:w="1944"/>
            <w:vAlign w:val="center"/>
            <w:tcMar>
              <w:top w:w="65" w:type="dxa"/>
              <w:bottom w:w="65" w:type="dxa"/>
              <w:left w:w="85" w:type="dxa"/>
              <w:right w:w="85" w:type="dxa"/>
            </w:tcMar>
            <w:shd w:fill="FFFFFF"/>
            <w:tcBorders>
              <w:top w:val="single" w:sz="4" w:color="D9D9D9"/>
              <w:left w:val="single" w:sz="4" w:color="D9D9D9"/>
              <w:bottom w:val="single" w:sz="4" w:color="D9D9D9"/>
              <w:right w:val="single" w:sz="4" w:color="D9D9D9"/>
            </w:tcBorders>
          </w:tcPr>
          <w:p>
            <w:pPr>
              <w:spacing w:after="0" w:line="247" w:lineRule="auto"/>
            </w:pPr>
            <w:r>
              <w:rPr>
                <w:sz w:val="18"/>
              </w:rPr>
              <w:t>Agency owner</w:t>
            </w:r>
          </w:p>
        </w:tc>
        <w:tc>
          <w:tcPr>
            <w:tcW w:type="dxa" w:w="5544"/>
            <w:vAlign w:val="center"/>
            <w:tcMar>
              <w:top w:w="65" w:type="dxa"/>
              <w:bottom w:w="65" w:type="dxa"/>
              <w:left w:w="85" w:type="dxa"/>
              <w:right w:w="85" w:type="dxa"/>
            </w:tcMar>
            <w:shd w:fill="FFFFFF"/>
            <w:tcBorders>
              <w:top w:val="single" w:sz="4" w:color="D9D9D9"/>
              <w:left w:val="single" w:sz="4" w:color="D9D9D9"/>
              <w:bottom w:val="single" w:sz="4" w:color="D9D9D9"/>
              <w:right w:val="single" w:sz="4" w:color="D9D9D9"/>
            </w:tcBorders>
          </w:tcPr>
          <w:p>
            <w:pPr>
              <w:spacing w:after="0" w:line="247" w:lineRule="auto"/>
            </w:pPr>
            <w:r>
              <w:rPr>
                <w:sz w:val="18"/>
              </w:rPr>
              <w:t>Harbor owner; isolated from Willow records</w:t>
            </w:r>
          </w:p>
        </w:tc>
      </w:tr>
      <w:tr>
        <w:trPr>
          <w:cantSplit/>
        </w:trPr>
        <w:tc>
          <w:tcPr>
            <w:tcW w:type="dxa" w:w="2880"/>
            <w:vAlign w:val="center"/>
            <w:tcMar>
              <w:top w:w="65" w:type="dxa"/>
              <w:bottom w:w="65" w:type="dxa"/>
              <w:left w:w="85" w:type="dxa"/>
              <w:right w:w="85" w:type="dxa"/>
            </w:tcMar>
            <w:shd w:fill="F3F5F6"/>
            <w:tcBorders>
              <w:top w:val="single" w:sz="4" w:color="D9D9D9"/>
              <w:left w:val="single" w:sz="4" w:color="D9D9D9"/>
              <w:bottom w:val="single" w:sz="4" w:color="D9D9D9"/>
              <w:right w:val="single" w:sz="4" w:color="D9D9D9"/>
            </w:tcBorders>
          </w:tcPr>
          <w:p>
            <w:pPr>
              <w:spacing w:after="0" w:line="247" w:lineRule="auto"/>
            </w:pPr>
            <w:r>
              <w:rPr>
                <w:sz w:val="18"/>
              </w:rPr>
              <w:t>caregiver2@caresys.test</w:t>
            </w:r>
          </w:p>
        </w:tc>
        <w:tc>
          <w:tcPr>
            <w:tcW w:type="dxa" w:w="1944"/>
            <w:vAlign w:val="center"/>
            <w:tcMar>
              <w:top w:w="65" w:type="dxa"/>
              <w:bottom w:w="65" w:type="dxa"/>
              <w:left w:w="85" w:type="dxa"/>
              <w:right w:w="85" w:type="dxa"/>
            </w:tcMar>
            <w:shd w:fill="F3F5F6"/>
            <w:tcBorders>
              <w:top w:val="single" w:sz="4" w:color="D9D9D9"/>
              <w:left w:val="single" w:sz="4" w:color="D9D9D9"/>
              <w:bottom w:val="single" w:sz="4" w:color="D9D9D9"/>
              <w:right w:val="single" w:sz="4" w:color="D9D9D9"/>
            </w:tcBorders>
          </w:tcPr>
          <w:p>
            <w:pPr>
              <w:spacing w:after="0" w:line="247" w:lineRule="auto"/>
            </w:pPr>
            <w:r>
              <w:rPr>
                <w:sz w:val="18"/>
              </w:rPr>
              <w:t>Caregiver</w:t>
            </w:r>
          </w:p>
        </w:tc>
        <w:tc>
          <w:tcPr>
            <w:tcW w:type="dxa" w:w="5544"/>
            <w:vAlign w:val="center"/>
            <w:tcMar>
              <w:top w:w="65" w:type="dxa"/>
              <w:bottom w:w="65" w:type="dxa"/>
              <w:left w:w="85" w:type="dxa"/>
              <w:right w:w="85" w:type="dxa"/>
            </w:tcMar>
            <w:shd w:fill="F3F5F6"/>
            <w:tcBorders>
              <w:top w:val="single" w:sz="4" w:color="D9D9D9"/>
              <w:left w:val="single" w:sz="4" w:color="D9D9D9"/>
              <w:bottom w:val="single" w:sz="4" w:color="D9D9D9"/>
              <w:right w:val="single" w:sz="4" w:color="D9D9D9"/>
            </w:tcBorders>
          </w:tcPr>
          <w:p>
            <w:pPr>
              <w:spacing w:after="0" w:line="247" w:lineRule="auto"/>
            </w:pPr>
            <w:r>
              <w:rPr>
                <w:sz w:val="18"/>
              </w:rPr>
              <w:t>Harbor worker; own assigned services only</w:t>
            </w:r>
          </w:p>
        </w:tc>
      </w:tr>
    </w:tbl>
    <w:p>
      <w:pPr>
        <w:spacing w:before="160"/>
      </w:pPr>
      <w:r>
        <w:rPr>
          <w:sz w:val="18"/>
        </w:rPr>
        <w:t>All people and records are fictional. Demo verification and subscription states do not represent actual checks or payments. Internal service accounts use separate random passwords. The shared demo password is for local development only.</w:t>
      </w:r>
    </w:p>
    <w:p>
      <w:r>
        <w:br w:type="page"/>
      </w:r>
    </w:p>
    <w:p>
      <w:pPr>
        <w:pStyle w:val="Heading1"/>
      </w:pPr>
      <w:r>
        <w:t>Remaining Work Checklist</w:t>
      </w:r>
    </w:p>
    <w:p>
      <w:r>
        <w:t>The principal local workflows are implemented. The following eight work areas remain open; no external payment, certified signature, completed screening, or production readiness is implied.</w:t>
      </w:r>
    </w:p>
    <w:p>
      <w:pPr>
        <w:pStyle w:val="Heading2"/>
      </w:pPr>
      <w:r>
        <w:t>1  Identity email and signing</w:t>
      </w:r>
    </w:p>
    <w:p>
      <w:pPr>
        <w:keepLines/>
      </w:pPr>
      <w:r>
        <w:t>Production email delivery and verification/recovery setup, privileged MFA, identity evidence policy and legally validated contract signing. Password confirmation is implemented; it is not MFA or a certified digital signature.</w:t>
      </w:r>
    </w:p>
    <w:p>
      <w:pPr>
        <w:pStyle w:val="Heading2"/>
      </w:pPr>
      <w:r>
        <w:t>2  Subscriptions and payments</w:t>
      </w:r>
    </w:p>
    <w:p>
      <w:pPr>
        <w:keepLines/>
      </w:pPr>
      <w:r>
        <w:t>Subscription payment provider, priced versioned product catalog, taxes, seat metering, proration and signed/reconciled provider callbacks. Manual agreements are auditable; they do not claim payment.</w:t>
      </w:r>
    </w:p>
    <w:p>
      <w:pPr>
        <w:pStyle w:val="Heading2"/>
      </w:pPr>
      <w:r>
        <w:t>3  References documents and privacy</w:t>
      </w:r>
    </w:p>
    <w:p>
      <w:pPr>
        <w:keepLines/>
      </w:pPr>
      <w:r>
        <w:t>Authorized reference responses, granular qualification/reference/contact disclosure, private binary uploads, malware scanning, retention/legal-hold execution, imports and their preview/reconciliation workflows.</w:t>
      </w:r>
    </w:p>
    <w:p>
      <w:pPr>
        <w:pStyle w:val="Heading2"/>
      </w:pPr>
      <w:r>
        <w:t>4  Scheduling and workforce operations</w:t>
      </w:r>
    </w:p>
    <w:p>
      <w:pPr>
        <w:keepLines/>
      </w:pPr>
      <w:r>
        <w:t>Branch and assignment access scopes beyond the single agency scope, detailed structured availability, travel buffers, recurring/multi-caregiver visits, time accrual/holiday calendars, advanced coverage and qualification alerts.</w:t>
      </w:r>
    </w:p>
    <w:p>
      <w:pPr>
        <w:pStyle w:val="Heading2"/>
      </w:pPr>
      <w:r>
        <w:t>5  Payroll processing</w:t>
      </w:r>
    </w:p>
    <w:p>
      <w:pPr>
        <w:keepLines/>
      </w:pPr>
      <w:r>
        <w:t>Provider-specific payroll formats, paid leave and reimbursement allocations, finalized-period adjustment/reversal handling and actual payroll submission.</w:t>
      </w:r>
    </w:p>
    <w:p>
      <w:pPr>
        <w:pStyle w:val="Heading2"/>
      </w:pPr>
      <w:r>
        <w:t>6  Billing and accounting</w:t>
      </w:r>
    </w:p>
    <w:p>
      <w:pPr>
        <w:keepLines/>
      </w:pPr>
      <w:r>
        <w:t>Partial visit billing, tax rules, partial credits/refunds, accounting adapters and a full balanced native ledger. No statutory or full-ledger claim is made.</w:t>
      </w:r>
    </w:p>
    <w:p>
      <w:pPr>
        <w:pStyle w:val="Heading2"/>
      </w:pPr>
      <w:r>
        <w:t>7  Production deployment and assurance</w:t>
      </w:r>
    </w:p>
    <w:p>
      <w:pPr>
        <w:keepLines/>
      </w:pPr>
      <w:r>
        <w:t>Production deployment, TLS/secrets infrastructure, independent authorization review, accessibility audit, load targets, encrypted backups and a measured restore exercise. Local browser checks do not establish WCAG conformance.</w:t>
      </w:r>
    </w:p>
    <w:p>
      <w:pPr>
        <w:pStyle w:val="Heading2"/>
      </w:pPr>
      <w:r>
        <w:t>8  Policy decisions and restricted features</w:t>
      </w:r>
    </w:p>
    <w:p>
      <w:pPr>
        <w:keepLines/>
      </w:pPr>
      <w:r>
        <w:t>Restricted birth-date matching, sensitive screening and operational multiagency overlap policy remain disabled pending owner/jurisdiction decisions.</w:t>
      </w:r>
    </w:p>
    <w:p>
      <w:pPr>
        <w:pStyle w:val="Heading2"/>
      </w:pPr>
      <w:r>
        <w:t>Completion evidence</w:t>
      </w:r>
    </w:p>
    <w:p>
      <w:r>
        <w:t>Close each work area only after the applicable provider or policy is approved, the implementation is tested, and the result is verified. Expanded concurrency tests, formal accessibility review, and a measured restore exercise remain necessary.</w:t>
      </w:r>
    </w:p>
    <w:sectPr w:rsidR="00FC693F" w:rsidRPr="0006063C" w:rsidSect="00034616">
      <w:footerReference w:type="default" r:id="rId9"/>
      <w:pgSz w:w="12240" w:h="15840"/>
      <w:pgMar w:top="936" w:right="936" w:bottom="936" w:left="936"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 xml:space="preserve">CareSys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CareSys Demo Accounts and Remaining Work</dc:title>
  <dc:subject>Local demonstration access and outstanding implementation requirements</dc:subject>
  <dc:creator>CareSys</dc:creator>
  <cp:keywords/>
  <dc:description>generated by python-docx</dc:description>
  <cp:lastModifiedBy/>
  <cp:revision>1</cp:revision>
  <dcterms:created xsi:type="dcterms:W3CDTF">2013-12-23T23:15:00Z</dcterms:created>
  <dcterms:modified xsi:type="dcterms:W3CDTF">2013-12-23T23:15:00Z</dcterms:modified>
  <cp:category/>
</cp:coreProperties>
</file>