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CareSys Platform and Commercial Blueprint</w:t>
      </w:r>
    </w:p>
    <w:p>
      <w:r>
        <w:t>Draft for review — 24 October 2026. Currency: USD unless explicitly stated.</w:t>
      </w:r>
    </w:p>
    <w:p>
      <w:pPr>
        <w:pStyle w:val="Heading1"/>
      </w:pPr>
      <w:r>
        <w:t>Decisions and scope</w:t>
      </w:r>
    </w:p>
    <w:p>
      <w:r>
        <w:t>Provide a development environment, isolated staging environment, and production environment for the CareSys web application and web services. Add Android and iOS apps backed by the same API, plus a public information and pricing website. Prices should suggest the visitor's country/currency and allow manual selection. Target at least a 10% operating profit margin after hosting, maintenance, support, payment fees and other operating costs. Estimates below are planning allowances, not provider quotations or a guarantee of margin at an unknown customer volume.</w:t>
      </w:r>
    </w:p>
    <w:p>
      <w:r>
        <w:t>Recommended starting architecture: retain CodeIgniter and MySQL, deploy two small Linux servers (staging and production), use static hosting for the public website, and develop one shared mobile codebase. Avoid a microservices rewrite, Kubernetes, and separate Android/iOS business logic during the initial launch.</w:t>
      </w:r>
    </w:p>
    <w:p>
      <w:r>
        <w:t>This is a plan only. No hosting has been ordered, repositories created, billing activated, subscriptions sold, or mobile apps submitted as part of this draft.</w:t>
      </w:r>
    </w:p>
    <w:p>
      <w:pPr>
        <w:pStyle w:val="Heading1"/>
      </w:pPr>
      <w:r>
        <w:t>Repositories and ownership</w:t>
      </w:r>
    </w:p>
    <w:p>
      <w:r>
        <w:t>Use one source history per component. Test and production are deployment targets, not independent copies of the source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376"/>
        <w:gridCol w:w="4968"/>
      </w:tblGrid>
      <w:tr>
        <w:trPr>
          <w:cantSplit/>
          <w:tblHeader/>
        </w:trPr>
        <w:tc>
          <w:tcPr>
            <w:tcW w:type="dxa" w:w="2880"/>
            <w:vAlign w:val="center"/>
            <w:shd w:fill="263746"/>
            <w:tcMar>
              <w:top w:w="90" w:type="dxa"/>
              <w:bottom w:w="90" w:type="dxa"/>
              <w:left w:w="90" w:type="dxa"/>
              <w:right w:w="90" w:type="dxa"/>
            </w:tcMar>
          </w:tcPr>
          <w:p>
            <w:pPr>
              <w:spacing w:after="60" w:before="60"/>
            </w:pPr>
            <w:r>
              <w:rPr>
                <w:b/>
                <w:color w:val="FFFFFF"/>
                <w:sz w:val="20"/>
              </w:rPr>
              <w:t>Repository</w:t>
            </w:r>
          </w:p>
        </w:tc>
        <w:tc>
          <w:tcPr>
            <w:tcW w:type="dxa" w:w="2376"/>
            <w:vAlign w:val="center"/>
            <w:shd w:fill="263746"/>
            <w:tcMar>
              <w:top w:w="90" w:type="dxa"/>
              <w:bottom w:w="90" w:type="dxa"/>
              <w:left w:w="90" w:type="dxa"/>
              <w:right w:w="90" w:type="dxa"/>
            </w:tcMar>
          </w:tcPr>
          <w:p>
            <w:pPr>
              <w:spacing w:after="60" w:before="60"/>
            </w:pPr>
            <w:r>
              <w:rPr>
                <w:b/>
                <w:color w:val="FFFFFF"/>
                <w:sz w:val="20"/>
              </w:rPr>
              <w:t>Contents</w:t>
            </w:r>
          </w:p>
        </w:tc>
        <w:tc>
          <w:tcPr>
            <w:tcW w:type="dxa" w:w="4968"/>
            <w:vAlign w:val="center"/>
            <w:shd w:fill="263746"/>
            <w:tcMar>
              <w:top w:w="90" w:type="dxa"/>
              <w:bottom w:w="90" w:type="dxa"/>
              <w:left w:w="90" w:type="dxa"/>
              <w:right w:w="90" w:type="dxa"/>
            </w:tcMar>
          </w:tcPr>
          <w:p>
            <w:pPr>
              <w:spacing w:after="60" w:before="60"/>
            </w:pPr>
            <w:r>
              <w:rPr>
                <w:b/>
                <w:color w:val="FFFFFF"/>
                <w:sz w:val="20"/>
              </w:rPr>
              <w:t>Deployment targets</w:t>
            </w:r>
          </w:p>
        </w:tc>
      </w:tr>
      <w:tr>
        <w:trPr>
          <w:cantSplit/>
        </w:trPr>
        <w:tc>
          <w:tcPr>
            <w:tcW w:type="dxa" w:w="2880"/>
            <w:vAlign w:val="center"/>
            <w:shd w:fill="F2F5F7"/>
            <w:tcMar>
              <w:top w:w="90" w:type="dxa"/>
              <w:bottom w:w="90" w:type="dxa"/>
              <w:left w:w="90" w:type="dxa"/>
              <w:right w:w="90" w:type="dxa"/>
            </w:tcMar>
          </w:tcPr>
          <w:p>
            <w:pPr>
              <w:spacing w:after="60" w:before="60"/>
            </w:pPr>
            <w:r>
              <w:rPr>
                <w:sz w:val="20"/>
              </w:rPr>
            </w:r>
            <w:r>
              <w:rPr>
                <w:sz w:val="20"/>
              </w:rPr>
              <w:t>CareSys</w:t>
            </w:r>
            <w:r>
              <w:rPr>
                <w:sz w:val="20"/>
              </w:rPr>
              <w:t xml:space="preserve"> (existing)</w:t>
            </w:r>
          </w:p>
        </w:tc>
        <w:tc>
          <w:tcPr>
            <w:tcW w:type="dxa" w:w="2376"/>
            <w:vAlign w:val="center"/>
            <w:shd w:fill="F2F5F7"/>
            <w:tcMar>
              <w:top w:w="90" w:type="dxa"/>
              <w:bottom w:w="90" w:type="dxa"/>
              <w:left w:w="90" w:type="dxa"/>
              <w:right w:w="90" w:type="dxa"/>
            </w:tcMar>
          </w:tcPr>
          <w:p>
            <w:pPr>
              <w:spacing w:after="60" w:before="60"/>
            </w:pPr>
            <w:r>
              <w:rPr>
                <w:sz w:val="20"/>
              </w:rPr>
              <w:t>CodeIgniter web portal, domain services, API implementation, database migrations</w:t>
            </w:r>
          </w:p>
        </w:tc>
        <w:tc>
          <w:tcPr>
            <w:tcW w:type="dxa" w:w="4968"/>
            <w:vAlign w:val="center"/>
            <w:shd w:fill="F2F5F7"/>
            <w:tcMar>
              <w:top w:w="90" w:type="dxa"/>
              <w:bottom w:w="90" w:type="dxa"/>
              <w:left w:w="90" w:type="dxa"/>
              <w:right w:w="90" w:type="dxa"/>
            </w:tcMar>
          </w:tcPr>
          <w:p>
            <w:pPr>
              <w:spacing w:after="60" w:before="60"/>
            </w:pPr>
            <w:r>
              <w:rPr>
                <w:sz w:val="20"/>
              </w:rPr>
              <w:t>Local development, staging, production</w:t>
            </w:r>
          </w:p>
        </w:tc>
      </w:tr>
      <w:tr>
        <w:trPr>
          <w:cantSplit/>
        </w:trPr>
        <w:tc>
          <w:tcPr>
            <w:tcW w:type="dxa" w:w="2880"/>
            <w:vAlign w:val="center"/>
            <w:shd w:fill="FFFFFF"/>
            <w:tcMar>
              <w:top w:w="90" w:type="dxa"/>
              <w:bottom w:w="90" w:type="dxa"/>
              <w:left w:w="90" w:type="dxa"/>
              <w:right w:w="90" w:type="dxa"/>
            </w:tcMar>
          </w:tcPr>
          <w:p>
            <w:pPr>
              <w:spacing w:after="60" w:before="60"/>
            </w:pPr>
            <w:r>
              <w:rPr>
                <w:sz w:val="20"/>
              </w:rPr>
            </w:r>
            <w:r>
              <w:rPr>
                <w:sz w:val="20"/>
              </w:rPr>
              <w:t>caresys-webservices</w:t>
            </w:r>
            <w:r>
              <w:rPr>
                <w:sz w:val="20"/>
              </w:rPr>
              <w:t xml:space="preserve"> (proposed)</w:t>
            </w:r>
          </w:p>
        </w:tc>
        <w:tc>
          <w:tcPr>
            <w:tcW w:type="dxa" w:w="2376"/>
            <w:vAlign w:val="center"/>
            <w:shd w:fill="FFFFFF"/>
            <w:tcMar>
              <w:top w:w="90" w:type="dxa"/>
              <w:bottom w:w="90" w:type="dxa"/>
              <w:left w:w="90" w:type="dxa"/>
              <w:right w:w="90" w:type="dxa"/>
            </w:tcMar>
          </w:tcPr>
          <w:p>
            <w:pPr>
              <w:spacing w:after="60" w:before="60"/>
            </w:pPr>
            <w:r>
              <w:rPr>
                <w:sz w:val="20"/>
              </w:rPr>
              <w:t>Versioned OpenAPI schemas, API examples, contract/security tests, mobile client generation configuration</w:t>
            </w:r>
          </w:p>
        </w:tc>
        <w:tc>
          <w:tcPr>
            <w:tcW w:type="dxa" w:w="4968"/>
            <w:vAlign w:val="center"/>
            <w:shd w:fill="FFFFFF"/>
            <w:tcMar>
              <w:top w:w="90" w:type="dxa"/>
              <w:bottom w:w="90" w:type="dxa"/>
              <w:left w:w="90" w:type="dxa"/>
              <w:right w:w="90" w:type="dxa"/>
            </w:tcMar>
          </w:tcPr>
          <w:p>
            <w:pPr>
              <w:spacing w:after="60" w:before="60"/>
            </w:pPr>
            <w:r>
              <w:rPr>
                <w:sz w:val="20"/>
              </w:rPr>
              <w:t>Local API, staging API, production API smoke checks</w:t>
            </w:r>
          </w:p>
        </w:tc>
      </w:tr>
      <w:tr>
        <w:trPr>
          <w:cantSplit/>
        </w:trPr>
        <w:tc>
          <w:tcPr>
            <w:tcW w:type="dxa" w:w="2880"/>
            <w:vAlign w:val="center"/>
            <w:shd w:fill="F2F5F7"/>
            <w:tcMar>
              <w:top w:w="90" w:type="dxa"/>
              <w:bottom w:w="90" w:type="dxa"/>
              <w:left w:w="90" w:type="dxa"/>
              <w:right w:w="90" w:type="dxa"/>
            </w:tcMar>
          </w:tcPr>
          <w:p>
            <w:pPr>
              <w:spacing w:after="60" w:before="60"/>
            </w:pPr>
            <w:r>
              <w:rPr>
                <w:sz w:val="20"/>
              </w:rPr>
            </w:r>
            <w:r>
              <w:rPr>
                <w:sz w:val="20"/>
              </w:rPr>
              <w:t>caresys-mobile</w:t>
            </w:r>
            <w:r>
              <w:rPr>
                <w:sz w:val="20"/>
              </w:rPr>
              <w:t xml:space="preserve"> (proposed)</w:t>
            </w:r>
          </w:p>
        </w:tc>
        <w:tc>
          <w:tcPr>
            <w:tcW w:type="dxa" w:w="2376"/>
            <w:vAlign w:val="center"/>
            <w:shd w:fill="F2F5F7"/>
            <w:tcMar>
              <w:top w:w="90" w:type="dxa"/>
              <w:bottom w:w="90" w:type="dxa"/>
              <w:left w:w="90" w:type="dxa"/>
              <w:right w:w="90" w:type="dxa"/>
            </w:tcMar>
          </w:tcPr>
          <w:p>
            <w:pPr>
              <w:spacing w:after="60" w:before="60"/>
            </w:pPr>
            <w:r>
              <w:rPr>
                <w:sz w:val="20"/>
              </w:rPr>
              <w:t>Shared Flutter Android/iOS app, platform configuration, mobile tests</w:t>
            </w:r>
          </w:p>
        </w:tc>
        <w:tc>
          <w:tcPr>
            <w:tcW w:type="dxa" w:w="4968"/>
            <w:vAlign w:val="center"/>
            <w:shd w:fill="F2F5F7"/>
            <w:tcMar>
              <w:top w:w="90" w:type="dxa"/>
              <w:bottom w:w="90" w:type="dxa"/>
              <w:left w:w="90" w:type="dxa"/>
              <w:right w:w="90" w:type="dxa"/>
            </w:tcMar>
          </w:tcPr>
          <w:p>
            <w:pPr>
              <w:spacing w:after="60" w:before="60"/>
            </w:pPr>
            <w:r>
              <w:rPr>
                <w:sz w:val="20"/>
              </w:rPr>
              <w:t>Development, staging, production app variants</w:t>
            </w:r>
          </w:p>
        </w:tc>
      </w:tr>
      <w:tr>
        <w:trPr>
          <w:cantSplit/>
        </w:trPr>
        <w:tc>
          <w:tcPr>
            <w:tcW w:type="dxa" w:w="2880"/>
            <w:vAlign w:val="center"/>
            <w:shd w:fill="FFFFFF"/>
            <w:tcMar>
              <w:top w:w="90" w:type="dxa"/>
              <w:bottom w:w="90" w:type="dxa"/>
              <w:left w:w="90" w:type="dxa"/>
              <w:right w:w="90" w:type="dxa"/>
            </w:tcMar>
          </w:tcPr>
          <w:p>
            <w:pPr>
              <w:spacing w:after="60" w:before="60"/>
            </w:pPr>
            <w:r>
              <w:rPr>
                <w:sz w:val="20"/>
              </w:rPr>
            </w:r>
            <w:r>
              <w:rPr>
                <w:sz w:val="20"/>
              </w:rPr>
              <w:t>caresys-website</w:t>
            </w:r>
            <w:r>
              <w:rPr>
                <w:sz w:val="20"/>
              </w:rPr>
              <w:t xml:space="preserve"> (proposed)</w:t>
            </w:r>
          </w:p>
        </w:tc>
        <w:tc>
          <w:tcPr>
            <w:tcW w:type="dxa" w:w="2376"/>
            <w:vAlign w:val="center"/>
            <w:shd w:fill="FFFFFF"/>
            <w:tcMar>
              <w:top w:w="90" w:type="dxa"/>
              <w:bottom w:w="90" w:type="dxa"/>
              <w:left w:w="90" w:type="dxa"/>
              <w:right w:w="90" w:type="dxa"/>
            </w:tcMar>
          </w:tcPr>
          <w:p>
            <w:pPr>
              <w:spacing w:after="60" w:before="60"/>
            </w:pPr>
            <w:r>
              <w:rPr>
                <w:sz w:val="20"/>
              </w:rPr>
              <w:t>Public pages, pricing presentation, country selector, help and policy pages</w:t>
            </w:r>
          </w:p>
        </w:tc>
        <w:tc>
          <w:tcPr>
            <w:tcW w:type="dxa" w:w="4968"/>
            <w:vAlign w:val="center"/>
            <w:shd w:fill="FFFFFF"/>
            <w:tcMar>
              <w:top w:w="90" w:type="dxa"/>
              <w:bottom w:w="90" w:type="dxa"/>
              <w:left w:w="90" w:type="dxa"/>
              <w:right w:w="90" w:type="dxa"/>
            </w:tcMar>
          </w:tcPr>
          <w:p>
            <w:pPr>
              <w:spacing w:after="60" w:before="60"/>
            </w:pPr>
            <w:r>
              <w:rPr>
                <w:sz w:val="20"/>
              </w:rPr>
              <w:t>Preview, staging website, public website</w:t>
            </w:r>
          </w:p>
        </w:tc>
      </w:tr>
      <w:tr>
        <w:trPr>
          <w:cantSplit/>
        </w:trPr>
        <w:tc>
          <w:tcPr>
            <w:tcW w:type="dxa" w:w="2880"/>
            <w:vAlign w:val="center"/>
            <w:shd w:fill="F2F5F7"/>
            <w:tcMar>
              <w:top w:w="90" w:type="dxa"/>
              <w:bottom w:w="90" w:type="dxa"/>
              <w:left w:w="90" w:type="dxa"/>
              <w:right w:w="90" w:type="dxa"/>
            </w:tcMar>
          </w:tcPr>
          <w:p>
            <w:pPr>
              <w:spacing w:after="60" w:before="60"/>
            </w:pPr>
            <w:r>
              <w:rPr>
                <w:sz w:val="20"/>
              </w:rPr>
            </w:r>
            <w:r>
              <w:rPr>
                <w:sz w:val="20"/>
              </w:rPr>
              <w:t>caresys-infrastructure</w:t>
            </w:r>
            <w:r>
              <w:rPr>
                <w:sz w:val="20"/>
              </w:rPr>
              <w:t xml:space="preserve"> (proposed)</w:t>
            </w:r>
          </w:p>
        </w:tc>
        <w:tc>
          <w:tcPr>
            <w:tcW w:type="dxa" w:w="2376"/>
            <w:vAlign w:val="center"/>
            <w:shd w:fill="F2F5F7"/>
            <w:tcMar>
              <w:top w:w="90" w:type="dxa"/>
              <w:bottom w:w="90" w:type="dxa"/>
              <w:left w:w="90" w:type="dxa"/>
              <w:right w:w="90" w:type="dxa"/>
            </w:tcMar>
          </w:tcPr>
          <w:p>
            <w:pPr>
              <w:spacing w:after="60" w:before="60"/>
            </w:pPr>
            <w:r>
              <w:rPr>
                <w:sz w:val="20"/>
              </w:rPr>
              <w:t>Deployment definitions, server configuration, backup/restore scripts, runbooks</w:t>
            </w:r>
          </w:p>
        </w:tc>
        <w:tc>
          <w:tcPr>
            <w:tcW w:type="dxa" w:w="4968"/>
            <w:vAlign w:val="center"/>
            <w:shd w:fill="F2F5F7"/>
            <w:tcMar>
              <w:top w:w="90" w:type="dxa"/>
              <w:bottom w:w="90" w:type="dxa"/>
              <w:left w:w="90" w:type="dxa"/>
              <w:right w:w="90" w:type="dxa"/>
            </w:tcMar>
          </w:tcPr>
          <w:p>
            <w:pPr>
              <w:spacing w:after="60" w:before="60"/>
            </w:pPr>
            <w:r>
              <w:rPr>
                <w:sz w:val="20"/>
              </w:rPr>
              <w:t>Staging and production with different secrets/state</w:t>
            </w:r>
          </w:p>
        </w:tc>
      </w:tr>
    </w:tbl>
    <w:p>
      <w:pPr>
        <w:spacing w:after="20"/>
      </w:pPr>
    </w:p>
    <w:p>
      <w:r>
        <w:t>Initially keep API runtime code in CareSys so its existing tenant, consent and authorization rules remain shared with the web portal. The webservices repository is a genuine service-contract and test project; it does not duplicate the backend. Extract a separately deployed API later only when scaling or team ownership justifies its additional coordination cost.</w:t>
      </w:r>
    </w:p>
    <w:p>
      <w:r>
        <w:t>Use private repositories for infrastructure and unpublished business material. Confirm the existing repository's visibility before placing additional commercial plans there. Never commit credentials, signing keys, exports or customer data. Move ownership to a business GitHub organization when its identity is established.</w:t>
      </w:r>
    </w:p>
    <w:p>
      <w:pPr>
        <w:pStyle w:val="Heading1"/>
      </w:pPr>
      <w:r>
        <w:t>Environment matrix</w:t>
      </w:r>
    </w:p>
    <w:p>
      <w:r>
        <w:t>The domains below are examples; the actual domain is not yet selected.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304"/>
        <w:gridCol w:w="2736"/>
        <w:gridCol w:w="3240"/>
      </w:tblGrid>
      <w:tr>
        <w:trPr>
          <w:cantSplit/>
          <w:tblHeader/>
        </w:trPr>
        <w:tc>
          <w:tcPr>
            <w:tcW w:type="dxa" w:w="1944"/>
            <w:vAlign w:val="center"/>
            <w:shd w:fill="263746"/>
            <w:tcMar>
              <w:top w:w="90" w:type="dxa"/>
              <w:bottom w:w="90" w:type="dxa"/>
              <w:left w:w="90" w:type="dxa"/>
              <w:right w:w="90" w:type="dxa"/>
            </w:tcMar>
          </w:tcPr>
          <w:p>
            <w:pPr>
              <w:spacing w:after="60" w:before="60"/>
            </w:pPr>
            <w:r>
              <w:rPr>
                <w:b/>
                <w:color w:val="FFFFFF"/>
                <w:sz w:val="20"/>
              </w:rPr>
              <w:t>Concern</w:t>
            </w:r>
          </w:p>
        </w:tc>
        <w:tc>
          <w:tcPr>
            <w:tcW w:type="dxa" w:w="2304"/>
            <w:vAlign w:val="center"/>
            <w:shd w:fill="263746"/>
            <w:tcMar>
              <w:top w:w="90" w:type="dxa"/>
              <w:bottom w:w="90" w:type="dxa"/>
              <w:left w:w="90" w:type="dxa"/>
              <w:right w:w="90" w:type="dxa"/>
            </w:tcMar>
          </w:tcPr>
          <w:p>
            <w:pPr>
              <w:spacing w:after="60" w:before="60"/>
            </w:pPr>
            <w:r>
              <w:rPr>
                <w:b/>
                <w:color w:val="FFFFFF"/>
                <w:sz w:val="20"/>
              </w:rPr>
              <w:t>Development</w:t>
            </w:r>
          </w:p>
        </w:tc>
        <w:tc>
          <w:tcPr>
            <w:tcW w:type="dxa" w:w="2736"/>
            <w:vAlign w:val="center"/>
            <w:shd w:fill="263746"/>
            <w:tcMar>
              <w:top w:w="90" w:type="dxa"/>
              <w:bottom w:w="90" w:type="dxa"/>
              <w:left w:w="90" w:type="dxa"/>
              <w:right w:w="90" w:type="dxa"/>
            </w:tcMar>
          </w:tcPr>
          <w:p>
            <w:pPr>
              <w:spacing w:after="60" w:before="60"/>
            </w:pPr>
            <w:r>
              <w:rPr>
                <w:b/>
                <w:color w:val="FFFFFF"/>
                <w:sz w:val="20"/>
              </w:rPr>
              <w:t>Staging / test</w:t>
            </w:r>
          </w:p>
        </w:tc>
        <w:tc>
          <w:tcPr>
            <w:tcW w:type="dxa" w:w="3240"/>
            <w:vAlign w:val="center"/>
            <w:shd w:fill="263746"/>
            <w:tcMar>
              <w:top w:w="90" w:type="dxa"/>
              <w:bottom w:w="90" w:type="dxa"/>
              <w:left w:w="90" w:type="dxa"/>
              <w:right w:w="90" w:type="dxa"/>
            </w:tcMar>
          </w:tcPr>
          <w:p>
            <w:pPr>
              <w:spacing w:after="60" w:before="60"/>
            </w:pPr>
            <w:r>
              <w:rPr>
                <w:b/>
                <w:color w:val="FFFFFF"/>
                <w:sz w:val="20"/>
              </w:rPr>
              <w:t>Production</w:t>
            </w:r>
          </w:p>
        </w:tc>
      </w:tr>
      <w:tr>
        <w:trPr>
          <w:cantSplit/>
        </w:trPr>
        <w:tc>
          <w:tcPr>
            <w:tcW w:type="dxa" w:w="1944"/>
            <w:vAlign w:val="center"/>
            <w:shd w:fill="F2F5F7"/>
            <w:tcMar>
              <w:top w:w="90" w:type="dxa"/>
              <w:bottom w:w="90" w:type="dxa"/>
              <w:left w:w="90" w:type="dxa"/>
              <w:right w:w="90" w:type="dxa"/>
            </w:tcMar>
          </w:tcPr>
          <w:p>
            <w:pPr>
              <w:spacing w:after="60" w:before="60"/>
            </w:pPr>
            <w:r>
              <w:rPr>
                <w:sz w:val="20"/>
              </w:rPr>
              <w:t>Web</w:t>
            </w:r>
          </w:p>
        </w:tc>
        <w:tc>
          <w:tcPr>
            <w:tcW w:type="dxa" w:w="2304"/>
            <w:vAlign w:val="center"/>
            <w:shd w:fill="F2F5F7"/>
            <w:tcMar>
              <w:top w:w="90" w:type="dxa"/>
              <w:bottom w:w="90" w:type="dxa"/>
              <w:left w:w="90" w:type="dxa"/>
              <w:right w:w="90" w:type="dxa"/>
            </w:tcMar>
          </w:tcPr>
          <w:p>
            <w:pPr>
              <w:spacing w:after="60" w:before="60"/>
            </w:pPr>
            <w:r>
              <w:rPr>
                <w:sz w:val="20"/>
              </w:rPr>
              <w:t>localhost:8080</w:t>
            </w:r>
          </w:p>
        </w:tc>
        <w:tc>
          <w:tcPr>
            <w:tcW w:type="dxa" w:w="2736"/>
            <w:vAlign w:val="center"/>
            <w:shd w:fill="F2F5F7"/>
            <w:tcMar>
              <w:top w:w="90" w:type="dxa"/>
              <w:bottom w:w="90" w:type="dxa"/>
              <w:left w:w="90" w:type="dxa"/>
              <w:right w:w="90" w:type="dxa"/>
            </w:tcMar>
          </w:tcPr>
          <w:p>
            <w:pPr>
              <w:spacing w:after="60" w:before="60"/>
            </w:pPr>
            <w:r>
              <w:rPr>
                <w:sz w:val="20"/>
              </w:rPr>
              <w:t>staging.example.com</w:t>
            </w:r>
          </w:p>
        </w:tc>
        <w:tc>
          <w:tcPr>
            <w:tcW w:type="dxa" w:w="3240"/>
            <w:vAlign w:val="center"/>
            <w:shd w:fill="F2F5F7"/>
            <w:tcMar>
              <w:top w:w="90" w:type="dxa"/>
              <w:bottom w:w="90" w:type="dxa"/>
              <w:left w:w="90" w:type="dxa"/>
              <w:right w:w="90" w:type="dxa"/>
            </w:tcMar>
          </w:tcPr>
          <w:p>
            <w:pPr>
              <w:spacing w:after="60" w:before="60"/>
            </w:pPr>
            <w:r>
              <w:rPr>
                <w:sz w:val="20"/>
              </w:rPr>
              <w:t>app.example.com</w:t>
            </w:r>
          </w:p>
        </w:tc>
      </w:tr>
      <w:tr>
        <w:trPr>
          <w:cantSplit/>
        </w:trPr>
        <w:tc>
          <w:tcPr>
            <w:tcW w:type="dxa" w:w="1944"/>
            <w:vAlign w:val="center"/>
            <w:shd w:fill="FFFFFF"/>
            <w:tcMar>
              <w:top w:w="90" w:type="dxa"/>
              <w:bottom w:w="90" w:type="dxa"/>
              <w:left w:w="90" w:type="dxa"/>
              <w:right w:w="90" w:type="dxa"/>
            </w:tcMar>
          </w:tcPr>
          <w:p>
            <w:pPr>
              <w:spacing w:after="60" w:before="60"/>
            </w:pPr>
            <w:r>
              <w:rPr>
                <w:sz w:val="20"/>
              </w:rPr>
              <w:t>API</w:t>
            </w:r>
          </w:p>
        </w:tc>
        <w:tc>
          <w:tcPr>
            <w:tcW w:type="dxa" w:w="2304"/>
            <w:vAlign w:val="center"/>
            <w:shd w:fill="FFFFFF"/>
            <w:tcMar>
              <w:top w:w="90" w:type="dxa"/>
              <w:bottom w:w="90" w:type="dxa"/>
              <w:left w:w="90" w:type="dxa"/>
              <w:right w:w="90" w:type="dxa"/>
            </w:tcMar>
          </w:tcPr>
          <w:p>
            <w:pPr>
              <w:spacing w:after="60" w:before="60"/>
            </w:pPr>
            <w:r>
              <w:rPr>
                <w:sz w:val="20"/>
              </w:rPr>
              <w:t>local /api/v1</w:t>
            </w:r>
          </w:p>
        </w:tc>
        <w:tc>
          <w:tcPr>
            <w:tcW w:type="dxa" w:w="2736"/>
            <w:vAlign w:val="center"/>
            <w:shd w:fill="FFFFFF"/>
            <w:tcMar>
              <w:top w:w="90" w:type="dxa"/>
              <w:bottom w:w="90" w:type="dxa"/>
              <w:left w:w="90" w:type="dxa"/>
              <w:right w:w="90" w:type="dxa"/>
            </w:tcMar>
          </w:tcPr>
          <w:p>
            <w:pPr>
              <w:spacing w:after="60" w:before="60"/>
            </w:pPr>
            <w:r>
              <w:rPr>
                <w:sz w:val="20"/>
              </w:rPr>
              <w:t>api-staging.example.com/api/v1</w:t>
            </w:r>
          </w:p>
        </w:tc>
        <w:tc>
          <w:tcPr>
            <w:tcW w:type="dxa" w:w="3240"/>
            <w:vAlign w:val="center"/>
            <w:shd w:fill="FFFFFF"/>
            <w:tcMar>
              <w:top w:w="90" w:type="dxa"/>
              <w:bottom w:w="90" w:type="dxa"/>
              <w:left w:w="90" w:type="dxa"/>
              <w:right w:w="90" w:type="dxa"/>
            </w:tcMar>
          </w:tcPr>
          <w:p>
            <w:pPr>
              <w:spacing w:after="60" w:before="60"/>
            </w:pPr>
            <w:r>
              <w:rPr>
                <w:sz w:val="20"/>
              </w:rPr>
              <w:t>api.example.com/api/v1</w:t>
            </w:r>
          </w:p>
        </w:tc>
      </w:tr>
      <w:tr>
        <w:trPr>
          <w:cantSplit/>
        </w:trPr>
        <w:tc>
          <w:tcPr>
            <w:tcW w:type="dxa" w:w="1944"/>
            <w:vAlign w:val="center"/>
            <w:shd w:fill="F2F5F7"/>
            <w:tcMar>
              <w:top w:w="90" w:type="dxa"/>
              <w:bottom w:w="90" w:type="dxa"/>
              <w:left w:w="90" w:type="dxa"/>
              <w:right w:w="90" w:type="dxa"/>
            </w:tcMar>
          </w:tcPr>
          <w:p>
            <w:pPr>
              <w:spacing w:after="60" w:before="60"/>
            </w:pPr>
            <w:r>
              <w:rPr>
                <w:sz w:val="20"/>
              </w:rPr>
              <w:t>Database</w:t>
            </w:r>
          </w:p>
        </w:tc>
        <w:tc>
          <w:tcPr>
            <w:tcW w:type="dxa" w:w="2304"/>
            <w:vAlign w:val="center"/>
            <w:shd w:fill="F2F5F7"/>
            <w:tcMar>
              <w:top w:w="90" w:type="dxa"/>
              <w:bottom w:w="90" w:type="dxa"/>
              <w:left w:w="90" w:type="dxa"/>
              <w:right w:w="90" w:type="dxa"/>
            </w:tcMar>
          </w:tcPr>
          <w:p>
            <w:pPr>
              <w:spacing w:after="60" w:before="60"/>
            </w:pPr>
            <w:r>
              <w:rPr>
                <w:sz w:val="20"/>
              </w:rPr>
              <w:t>caresys_dev; separate caresys_test</w:t>
            </w:r>
          </w:p>
        </w:tc>
        <w:tc>
          <w:tcPr>
            <w:tcW w:type="dxa" w:w="2736"/>
            <w:vAlign w:val="center"/>
            <w:shd w:fill="F2F5F7"/>
            <w:tcMar>
              <w:top w:w="90" w:type="dxa"/>
              <w:bottom w:w="90" w:type="dxa"/>
              <w:left w:w="90" w:type="dxa"/>
              <w:right w:w="90" w:type="dxa"/>
            </w:tcMar>
          </w:tcPr>
          <w:p>
            <w:pPr>
              <w:spacing w:after="60" w:before="60"/>
            </w:pPr>
            <w:r>
              <w:rPr>
                <w:sz w:val="20"/>
              </w:rPr>
              <w:t>caresys_staging</w:t>
            </w:r>
          </w:p>
        </w:tc>
        <w:tc>
          <w:tcPr>
            <w:tcW w:type="dxa" w:w="3240"/>
            <w:vAlign w:val="center"/>
            <w:shd w:fill="F2F5F7"/>
            <w:tcMar>
              <w:top w:w="90" w:type="dxa"/>
              <w:bottom w:w="90" w:type="dxa"/>
              <w:left w:w="90" w:type="dxa"/>
              <w:right w:w="90" w:type="dxa"/>
            </w:tcMar>
          </w:tcPr>
          <w:p>
            <w:pPr>
              <w:spacing w:after="60" w:before="60"/>
            </w:pPr>
            <w:r>
              <w:rPr>
                <w:sz w:val="20"/>
              </w:rPr>
              <w:t>caresys_production</w:t>
            </w:r>
          </w:p>
        </w:tc>
      </w:tr>
      <w:tr>
        <w:trPr>
          <w:cantSplit/>
        </w:trPr>
        <w:tc>
          <w:tcPr>
            <w:tcW w:type="dxa" w:w="1944"/>
            <w:vAlign w:val="center"/>
            <w:shd w:fill="FFFFFF"/>
            <w:tcMar>
              <w:top w:w="90" w:type="dxa"/>
              <w:bottom w:w="90" w:type="dxa"/>
              <w:left w:w="90" w:type="dxa"/>
              <w:right w:w="90" w:type="dxa"/>
            </w:tcMar>
          </w:tcPr>
          <w:p>
            <w:pPr>
              <w:spacing w:after="60" w:before="60"/>
            </w:pPr>
            <w:r>
              <w:rPr>
                <w:sz w:val="20"/>
              </w:rPr>
              <w:t>Data</w:t>
            </w:r>
          </w:p>
        </w:tc>
        <w:tc>
          <w:tcPr>
            <w:tcW w:type="dxa" w:w="2304"/>
            <w:vAlign w:val="center"/>
            <w:shd w:fill="FFFFFF"/>
            <w:tcMar>
              <w:top w:w="90" w:type="dxa"/>
              <w:bottom w:w="90" w:type="dxa"/>
              <w:left w:w="90" w:type="dxa"/>
              <w:right w:w="90" w:type="dxa"/>
            </w:tcMar>
          </w:tcPr>
          <w:p>
            <w:pPr>
              <w:spacing w:after="60" w:before="60"/>
            </w:pPr>
            <w:r>
              <w:rPr>
                <w:sz w:val="20"/>
              </w:rPr>
              <w:t>Fictional records</w:t>
            </w:r>
          </w:p>
        </w:tc>
        <w:tc>
          <w:tcPr>
            <w:tcW w:type="dxa" w:w="2736"/>
            <w:vAlign w:val="center"/>
            <w:shd w:fill="FFFFFF"/>
            <w:tcMar>
              <w:top w:w="90" w:type="dxa"/>
              <w:bottom w:w="90" w:type="dxa"/>
              <w:left w:w="90" w:type="dxa"/>
              <w:right w:w="90" w:type="dxa"/>
            </w:tcMar>
          </w:tcPr>
          <w:p>
            <w:pPr>
              <w:spacing w:after="60" w:before="60"/>
            </w:pPr>
            <w:r>
              <w:rPr>
                <w:sz w:val="20"/>
              </w:rPr>
              <w:t>Fictional records only</w:t>
            </w:r>
          </w:p>
        </w:tc>
        <w:tc>
          <w:tcPr>
            <w:tcW w:type="dxa" w:w="3240"/>
            <w:vAlign w:val="center"/>
            <w:shd w:fill="FFFFFF"/>
            <w:tcMar>
              <w:top w:w="90" w:type="dxa"/>
              <w:bottom w:w="90" w:type="dxa"/>
              <w:left w:w="90" w:type="dxa"/>
              <w:right w:w="90" w:type="dxa"/>
            </w:tcMar>
          </w:tcPr>
          <w:p>
            <w:pPr>
              <w:spacing w:after="60" w:before="60"/>
            </w:pPr>
            <w:r>
              <w:rPr>
                <w:sz w:val="20"/>
              </w:rPr>
              <w:t>Authorized customer records</w:t>
            </w:r>
          </w:p>
        </w:tc>
      </w:tr>
      <w:tr>
        <w:trPr>
          <w:cantSplit/>
        </w:trPr>
        <w:tc>
          <w:tcPr>
            <w:tcW w:type="dxa" w:w="1944"/>
            <w:vAlign w:val="center"/>
            <w:shd w:fill="F2F5F7"/>
            <w:tcMar>
              <w:top w:w="90" w:type="dxa"/>
              <w:bottom w:w="90" w:type="dxa"/>
              <w:left w:w="90" w:type="dxa"/>
              <w:right w:w="90" w:type="dxa"/>
            </w:tcMar>
          </w:tcPr>
          <w:p>
            <w:pPr>
              <w:spacing w:after="60" w:before="60"/>
            </w:pPr>
            <w:r>
              <w:rPr>
                <w:sz w:val="20"/>
              </w:rPr>
              <w:t>Payments</w:t>
            </w:r>
          </w:p>
        </w:tc>
        <w:tc>
          <w:tcPr>
            <w:tcW w:type="dxa" w:w="2304"/>
            <w:vAlign w:val="center"/>
            <w:shd w:fill="F2F5F7"/>
            <w:tcMar>
              <w:top w:w="90" w:type="dxa"/>
              <w:bottom w:w="90" w:type="dxa"/>
              <w:left w:w="90" w:type="dxa"/>
              <w:right w:w="90" w:type="dxa"/>
            </w:tcMar>
          </w:tcPr>
          <w:p>
            <w:pPr>
              <w:spacing w:after="60" w:before="60"/>
            </w:pPr>
            <w:r>
              <w:rPr>
                <w:sz w:val="20"/>
              </w:rPr>
              <w:t>Provider sandbox</w:t>
            </w:r>
          </w:p>
        </w:tc>
        <w:tc>
          <w:tcPr>
            <w:tcW w:type="dxa" w:w="2736"/>
            <w:vAlign w:val="center"/>
            <w:shd w:fill="F2F5F7"/>
            <w:tcMar>
              <w:top w:w="90" w:type="dxa"/>
              <w:bottom w:w="90" w:type="dxa"/>
              <w:left w:w="90" w:type="dxa"/>
              <w:right w:w="90" w:type="dxa"/>
            </w:tcMar>
          </w:tcPr>
          <w:p>
            <w:pPr>
              <w:spacing w:after="60" w:before="60"/>
            </w:pPr>
            <w:r>
              <w:rPr>
                <w:sz w:val="20"/>
              </w:rPr>
              <w:t>Provider sandbox</w:t>
            </w:r>
          </w:p>
        </w:tc>
        <w:tc>
          <w:tcPr>
            <w:tcW w:type="dxa" w:w="3240"/>
            <w:vAlign w:val="center"/>
            <w:shd w:fill="F2F5F7"/>
            <w:tcMar>
              <w:top w:w="90" w:type="dxa"/>
              <w:bottom w:w="90" w:type="dxa"/>
              <w:left w:w="90" w:type="dxa"/>
              <w:right w:w="90" w:type="dxa"/>
            </w:tcMar>
          </w:tcPr>
          <w:p>
            <w:pPr>
              <w:spacing w:after="60" w:before="60"/>
            </w:pPr>
            <w:r>
              <w:rPr>
                <w:sz w:val="20"/>
              </w:rPr>
              <w:t>Provider live account/keys</w:t>
            </w:r>
          </w:p>
        </w:tc>
      </w:tr>
      <w:tr>
        <w:trPr>
          <w:cantSplit/>
        </w:trPr>
        <w:tc>
          <w:tcPr>
            <w:tcW w:type="dxa" w:w="1944"/>
            <w:vAlign w:val="center"/>
            <w:shd w:fill="FFFFFF"/>
            <w:tcMar>
              <w:top w:w="90" w:type="dxa"/>
              <w:bottom w:w="90" w:type="dxa"/>
              <w:left w:w="90" w:type="dxa"/>
              <w:right w:w="90" w:type="dxa"/>
            </w:tcMar>
          </w:tcPr>
          <w:p>
            <w:pPr>
              <w:spacing w:after="60" w:before="60"/>
            </w:pPr>
            <w:r>
              <w:rPr>
                <w:sz w:val="20"/>
              </w:rPr>
              <w:t>Email</w:t>
            </w:r>
          </w:p>
        </w:tc>
        <w:tc>
          <w:tcPr>
            <w:tcW w:type="dxa" w:w="2304"/>
            <w:vAlign w:val="center"/>
            <w:shd w:fill="FFFFFF"/>
            <w:tcMar>
              <w:top w:w="90" w:type="dxa"/>
              <w:bottom w:w="90" w:type="dxa"/>
              <w:left w:w="90" w:type="dxa"/>
              <w:right w:w="90" w:type="dxa"/>
            </w:tcMar>
          </w:tcPr>
          <w:p>
            <w:pPr>
              <w:spacing w:after="60" w:before="60"/>
            </w:pPr>
            <w:r>
              <w:rPr>
                <w:sz w:val="20"/>
              </w:rPr>
              <w:t>Local capture</w:t>
            </w:r>
          </w:p>
        </w:tc>
        <w:tc>
          <w:tcPr>
            <w:tcW w:type="dxa" w:w="2736"/>
            <w:vAlign w:val="center"/>
            <w:shd w:fill="FFFFFF"/>
            <w:tcMar>
              <w:top w:w="90" w:type="dxa"/>
              <w:bottom w:w="90" w:type="dxa"/>
              <w:left w:w="90" w:type="dxa"/>
              <w:right w:w="90" w:type="dxa"/>
            </w:tcMar>
          </w:tcPr>
          <w:p>
            <w:pPr>
              <w:spacing w:after="60" w:before="60"/>
            </w:pPr>
            <w:r>
              <w:rPr>
                <w:sz w:val="20"/>
              </w:rPr>
              <w:t>Restricted test recipients</w:t>
            </w:r>
          </w:p>
        </w:tc>
        <w:tc>
          <w:tcPr>
            <w:tcW w:type="dxa" w:w="3240"/>
            <w:vAlign w:val="center"/>
            <w:shd w:fill="FFFFFF"/>
            <w:tcMar>
              <w:top w:w="90" w:type="dxa"/>
              <w:bottom w:w="90" w:type="dxa"/>
              <w:left w:w="90" w:type="dxa"/>
              <w:right w:w="90" w:type="dxa"/>
            </w:tcMar>
          </w:tcPr>
          <w:p>
            <w:pPr>
              <w:spacing w:after="60" w:before="60"/>
            </w:pPr>
            <w:r>
              <w:rPr>
                <w:sz w:val="20"/>
              </w:rPr>
              <w:t>Verified production sender</w:t>
            </w:r>
          </w:p>
        </w:tc>
      </w:tr>
      <w:tr>
        <w:trPr>
          <w:cantSplit/>
        </w:trPr>
        <w:tc>
          <w:tcPr>
            <w:tcW w:type="dxa" w:w="1944"/>
            <w:vAlign w:val="center"/>
            <w:shd w:fill="F2F5F7"/>
            <w:tcMar>
              <w:top w:w="90" w:type="dxa"/>
              <w:bottom w:w="90" w:type="dxa"/>
              <w:left w:w="90" w:type="dxa"/>
              <w:right w:w="90" w:type="dxa"/>
            </w:tcMar>
          </w:tcPr>
          <w:p>
            <w:pPr>
              <w:spacing w:after="60" w:before="60"/>
            </w:pPr>
            <w:r>
              <w:rPr>
                <w:sz w:val="20"/>
              </w:rPr>
              <w:t>Mobile</w:t>
            </w:r>
          </w:p>
        </w:tc>
        <w:tc>
          <w:tcPr>
            <w:tcW w:type="dxa" w:w="2304"/>
            <w:vAlign w:val="center"/>
            <w:shd w:fill="F2F5F7"/>
            <w:tcMar>
              <w:top w:w="90" w:type="dxa"/>
              <w:bottom w:w="90" w:type="dxa"/>
              <w:left w:w="90" w:type="dxa"/>
              <w:right w:w="90" w:type="dxa"/>
            </w:tcMar>
          </w:tcPr>
          <w:p>
            <w:pPr>
              <w:spacing w:after="60" w:before="60"/>
            </w:pPr>
            <w:r>
              <w:rPr>
                <w:sz w:val="20"/>
              </w:rPr>
              <w:t>Development app ID</w:t>
            </w:r>
          </w:p>
        </w:tc>
        <w:tc>
          <w:tcPr>
            <w:tcW w:type="dxa" w:w="2736"/>
            <w:vAlign w:val="center"/>
            <w:shd w:fill="F2F5F7"/>
            <w:tcMar>
              <w:top w:w="90" w:type="dxa"/>
              <w:bottom w:w="90" w:type="dxa"/>
              <w:left w:w="90" w:type="dxa"/>
              <w:right w:w="90" w:type="dxa"/>
            </w:tcMar>
          </w:tcPr>
          <w:p>
            <w:pPr>
              <w:spacing w:after="60" w:before="60"/>
            </w:pPr>
            <w:r>
              <w:rPr>
                <w:sz w:val="20"/>
              </w:rPr>
              <w:t>Distinct staging app ID</w:t>
            </w:r>
          </w:p>
        </w:tc>
        <w:tc>
          <w:tcPr>
            <w:tcW w:type="dxa" w:w="3240"/>
            <w:vAlign w:val="center"/>
            <w:shd w:fill="F2F5F7"/>
            <w:tcMar>
              <w:top w:w="90" w:type="dxa"/>
              <w:bottom w:w="90" w:type="dxa"/>
              <w:left w:w="90" w:type="dxa"/>
              <w:right w:w="90" w:type="dxa"/>
            </w:tcMar>
          </w:tcPr>
          <w:p>
            <w:pPr>
              <w:spacing w:after="60" w:before="60"/>
            </w:pPr>
            <w:r>
              <w:rPr>
                <w:sz w:val="20"/>
              </w:rPr>
              <w:t>Production app ID</w:t>
            </w:r>
          </w:p>
        </w:tc>
      </w:tr>
      <w:tr>
        <w:trPr>
          <w:cantSplit/>
        </w:trPr>
        <w:tc>
          <w:tcPr>
            <w:tcW w:type="dxa" w:w="1944"/>
            <w:vAlign w:val="center"/>
            <w:shd w:fill="FFFFFF"/>
            <w:tcMar>
              <w:top w:w="90" w:type="dxa"/>
              <w:bottom w:w="90" w:type="dxa"/>
              <w:left w:w="90" w:type="dxa"/>
              <w:right w:w="90" w:type="dxa"/>
            </w:tcMar>
          </w:tcPr>
          <w:p>
            <w:pPr>
              <w:spacing w:after="60" w:before="60"/>
            </w:pPr>
            <w:r>
              <w:rPr>
                <w:sz w:val="20"/>
              </w:rPr>
              <w:t>Access</w:t>
            </w:r>
          </w:p>
        </w:tc>
        <w:tc>
          <w:tcPr>
            <w:tcW w:type="dxa" w:w="2304"/>
            <w:vAlign w:val="center"/>
            <w:shd w:fill="FFFFFF"/>
            <w:tcMar>
              <w:top w:w="90" w:type="dxa"/>
              <w:bottom w:w="90" w:type="dxa"/>
              <w:left w:w="90" w:type="dxa"/>
              <w:right w:w="90" w:type="dxa"/>
            </w:tcMar>
          </w:tcPr>
          <w:p>
            <w:pPr>
              <w:spacing w:after="60" w:before="60"/>
            </w:pPr>
            <w:r>
              <w:rPr>
                <w:sz w:val="20"/>
              </w:rPr>
              <w:t>Developers</w:t>
            </w:r>
          </w:p>
        </w:tc>
        <w:tc>
          <w:tcPr>
            <w:tcW w:type="dxa" w:w="2736"/>
            <w:vAlign w:val="center"/>
            <w:shd w:fill="FFFFFF"/>
            <w:tcMar>
              <w:top w:w="90" w:type="dxa"/>
              <w:bottom w:w="90" w:type="dxa"/>
              <w:left w:w="90" w:type="dxa"/>
              <w:right w:w="90" w:type="dxa"/>
            </w:tcMar>
          </w:tcPr>
          <w:p>
            <w:pPr>
              <w:spacing w:after="60" w:before="60"/>
            </w:pPr>
            <w:r>
              <w:rPr>
                <w:sz w:val="20"/>
              </w:rPr>
              <w:t>Named reviewers; access controlled</w:t>
            </w:r>
          </w:p>
        </w:tc>
        <w:tc>
          <w:tcPr>
            <w:tcW w:type="dxa" w:w="3240"/>
            <w:vAlign w:val="center"/>
            <w:shd w:fill="FFFFFF"/>
            <w:tcMar>
              <w:top w:w="90" w:type="dxa"/>
              <w:bottom w:w="90" w:type="dxa"/>
              <w:left w:w="90" w:type="dxa"/>
              <w:right w:w="90" w:type="dxa"/>
            </w:tcMar>
          </w:tcPr>
          <w:p>
            <w:pPr>
              <w:spacing w:after="60" w:before="60"/>
            </w:pPr>
            <w:r>
              <w:rPr>
                <w:sz w:val="20"/>
              </w:rPr>
              <w:t>Customers and authorized operators</w:t>
            </w:r>
          </w:p>
        </w:tc>
      </w:tr>
    </w:tbl>
    <w:p>
      <w:pPr>
        <w:spacing w:after="20"/>
      </w:pPr>
    </w:p>
    <w:p>
      <w:r>
        <w:t>Do not rename the working local database during planning; apply the naming scheme when provisioning environments. Each environment needs separate app credentials, migration credentials, encryption keys, storage, cookies, callback URLs and backup destinations. Separate database containers/instances on separate staging and production servers prevent staging load or mistakes from directly affecting live data. Production databases are reachable privately by the application, not the public internet. Cross-environment cookies and tokens must be rejected.</w:t>
      </w:r>
    </w:p>
    <w:p>
      <w:r>
        <w:t>Development remains on the current PC at no additional hosting charge. Use containerized PHP/MySQL in CI for repeatable checks. Retain MySQL 8.4 compatibility; do not silently substitute MariaDB without testing migrations and query behavior.</w:t>
      </w:r>
    </w:p>
    <w:p>
      <w:pPr>
        <w:pStyle w:val="Heading1"/>
      </w:pPr>
      <w:r>
        <w:t>Hosting and deployment design</w:t>
      </w:r>
    </w:p>
    <w:p>
      <w:r>
        <w:t>For an inexpensive, predictable pilot, use a US-region VPS provider with a 2 GB staging server and 4 GB production server. DigitalOcean is the costed reference: $12/month and $24/month respectively on its listed Basic plans. These are initial sizing assumptions, subject to load tests, regional availability and current prices.</w:t>
      </w:r>
    </w:p>
    <w:p>
      <w:r>
        <w:t>Run a reverse proxy with TLS, PHP-FPM, the CareSys web/API application, MySQL and scheduled workers. API and portal may use the same application artifact with explicit host routing and narrow CORS rules. Only the public directory is served. Containerize services or use equivalently reproducible configuration; expose HTTPS only, with tightly restricted administrative access.</w:t>
      </w:r>
    </w:p>
    <w:p>
      <w:r>
        <w:t>Host the static marketing website on Cloudflare Pages within its free allowance. It must not connect directly to MySQL or embed provider secret keys. A minimal backend endpoint handles validated contact/demo requests and creates checkouts.</w:t>
      </w:r>
    </w:p>
    <w:p>
      <w:r>
        <w:t>Cheaper alternatives: use staging only when required and destroy/recreate it from configuration, or evaluate a lower-price VPS in a suitable region. Merely powering off an allocated server may not stop charges. Oracle Always Free can support experiments, but capacity and idle reclamation make it unsuitable as the default commercial continuity plan. Two environments on one VPS are cheaper but share a failure boundary; use that arrangement only for a fictional-data demonstration.</w:t>
      </w:r>
    </w:p>
    <w:p>
      <w:r>
        <w:t>The initial production VPS is a single point of failure. Do not sell high availability or a contractual uptime guarantee on this architecture. Add separate database hosting/replication and application redundancy when measured demand or customer commitments require it.</w:t>
      </w:r>
    </w:p>
    <w:p>
      <w:r>
        <w:t>Release flow:</w:t>
      </w:r>
    </w:p>
    <w:p>
      <w:r>
        <w:t>1. Feature branch and pull request; lint, secret checks, PHPUnit, tenant/consent tests, MySQL migrations and API contract tests run on fictional data.</w:t>
      </w:r>
    </w:p>
    <w:p>
      <w:r>
        <w:t>2. Merge a reviewed change to main and build a versioned immutable artifact.</w:t>
      </w:r>
    </w:p>
    <w:p>
      <w:r>
        <w:t>3. Deploy that artifact to staging automatically; run browser and mobile checks.</w:t>
      </w:r>
    </w:p>
    <w:p>
      <w:r>
        <w:t>4. Record acceptance, migration impact and release notes. Require owner approval for production; use an equivalent restricted manual process if the GitHub plan does not support the required approval controls.</w:t>
      </w:r>
    </w:p>
    <w:p>
      <w:r>
        <w:t>5. Take a recoverable backup, deploy the same artifact, run safe migrations and production smoke checks; monitor errors and billing callbacks.</w:t>
      </w:r>
    </w:p>
    <w:p>
      <w:r>
        <w:t>6. Roll back the application artifact if necessary. Database recovery is a separately rehearsed procedure; prefer backward-compatible schema changes.</w:t>
      </w:r>
    </w:p>
    <w:p>
      <w:pPr>
        <w:pStyle w:val="Heading1"/>
      </w:pPr>
      <w:r>
        <w:t>Web services and mobile design</w:t>
      </w:r>
    </w:p>
    <w:p>
      <w:r>
        <w:t>Current API endpoints share services with the web app and use session cookies, CSRF and workspace nonces. Native mobile authentication is unfinished work. Design revocable short-lived access tokens with rotated refresh tokens, secure device storage, logout/revocation, rate limits and privileged step-up/MFA. Preserve agency scoping, explicit consent and exact-version checks for every request. Keep browser protections in place rather than disabling CSRF globally.</w:t>
      </w:r>
    </w:p>
    <w:p>
      <w:r>
        <w:t>Publish a complete API v1 contract, stable errors, pagination, idempotency and backward-compatibility policy. Test cross-agency denial, withdrawn consent, duplicate clock submissions, expired credentials, contract revisions and billing webhook retries. Production tests use dedicated synthetic accounts and avoid destructive transactions involving real customers.</w:t>
      </w:r>
    </w:p>
    <w:p>
      <w:r>
        <w:t>Use one Flutter repository for Android and iOS (proposed engineering choice, subject to a small device/authentication prototype). Separate flavor configurations and bundle/package IDs ensure staging apps cannot use production credentials. An API URL and public identifiers are configuration, not secrets; signing keys belong in restricted CI storage. iOS builds require a macOS/Xcode build route; budget for CI minutes or access to a Mac. Windows can remain the main workstation.</w:t>
      </w:r>
    </w:p>
    <w:p>
      <w:r>
        <w:t>First mobile release: login, profile/preferences, assigned visits, online clock events, leave, notifications and permission-appropriate care notes. Add reviewed offline sync later with encrypted local storage, idempotent events, explicit conflict resolution and retention limits. Do not promise reliable offline clocking until device/network tests pass. Request location only for an approved feature.</w:t>
      </w:r>
    </w:p>
    <w:p>
      <w:r>
        <w:t>Distribute beta builds through TestFlight and Google Play testing tracks; keep production releases gated. Verify account, identity and testing requirements at enrollment. Apple membership is currently $99/year; Google Play registration is $25 once. Store accounts and signing assets should belong to the business.</w:t>
      </w:r>
    </w:p>
    <w:p>
      <w:r>
        <w:t>Initially sell agency subscriptions on the web and provide employee access in mobile apps. Apple has an enterprise-services provision, but eligibility and Google Play payment requirements must be checked for the exact product/region. Do not assume every subscription avoids store fees. Individual paid digital features may require in-app billing and a different price model. Keep candidate accounts free during the pilot to preserve independent access and simplify scope.</w:t>
      </w:r>
    </w:p>
    <w:p>
      <w:pPr>
        <w:pStyle w:val="Heading1"/>
      </w:pPr>
      <w:r>
        <w:t>Public website and regional pricing</w:t>
      </w:r>
    </w:p>
    <w:p>
      <w:r>
        <w:t>Pages: home, product overview, agency workflows, caregiver benefits, features, pricing, FAQ, about/contact, demo request, support, privacy, terms, cookie choices and service status link. Show screenshots with fictional records. Mark roadmap features clearly; do not advertise payroll processing, certified signing, MFA or other unfinished integrations as delivered.</w:t>
      </w:r>
    </w:p>
    <w:p>
      <w:r>
        <w:t>Use approximate IP country detection as a default suggestion with a prominent country/currency selector. No GPS or precise address is needed. Remember the selection without putting sensitive information in browser storage. Use USD as the fallback and disclose supported purchasing countries separately from display languages/currencies. Confirm billing country and final total at checkout.</w:t>
      </w:r>
    </w:p>
    <w:p>
      <w:r>
        <w:t>Maintain versioned regional price records: country/market, currency, plan, billing interval, amount in minor units, effective dates, tax presentation, provider price ID and allowances. The server owns checkout amounts; never trust browser prices. Use rounded local prices reviewed against payment fees, FX exposure and local costs. FX-only conversions may be shown as estimates until actual local checkout is supported. Identify tax treatment clearly and validate it for each launch market.</w:t>
      </w:r>
    </w:p>
    <w:p>
      <w:r>
        <w:t>Keep prices consistent across website, checkout, invoices and renewal notices. Existing subscriptions retain their contracted currency/price until a disclosed change; changing website country must not silently change a subscription. Region is not proof of tax residence, contractual jurisdiction or entitlement eligibility. Review margins monthly and after significant FX/provider changes. No non-US price is approved by this draft.</w:t>
      </w:r>
    </w:p>
    <w:p>
      <w:pPr>
        <w:pStyle w:val="Heading1"/>
      </w:pPr>
      <w:r>
        <w:t>Operating budget</w:t>
      </w:r>
    </w:p>
    <w:p>
      <w:r>
        <w:t>Initial small-pilot estimate; prices checked 24 October 2026. Dollar allowances are deliberately explicit so they can be replaced with actual quotations. This is not a budget for unlimited users, regulated healthcare hosting, or 24/7 support.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376"/>
        <w:gridCol w:w="4968"/>
      </w:tblGrid>
      <w:tr>
        <w:trPr>
          <w:cantSplit/>
          <w:tblHeader/>
        </w:trPr>
        <w:tc>
          <w:tcPr>
            <w:tcW w:type="dxa" w:w="2880"/>
            <w:vAlign w:val="center"/>
            <w:shd w:fill="263746"/>
            <w:tcMar>
              <w:top w:w="90" w:type="dxa"/>
              <w:bottom w:w="90" w:type="dxa"/>
              <w:left w:w="90" w:type="dxa"/>
              <w:right w:w="90" w:type="dxa"/>
            </w:tcMar>
          </w:tcPr>
          <w:p>
            <w:pPr>
              <w:spacing w:after="60" w:before="60"/>
            </w:pPr>
            <w:r>
              <w:rPr>
                <w:b/>
                <w:color w:val="FFFFFF"/>
                <w:sz w:val="20"/>
              </w:rPr>
              <w:t>Monthly item</w:t>
            </w:r>
          </w:p>
        </w:tc>
        <w:tc>
          <w:tcPr>
            <w:tcW w:type="dxa" w:w="2376"/>
            <w:vAlign w:val="center"/>
            <w:shd w:fill="263746"/>
            <w:tcMar>
              <w:top w:w="90" w:type="dxa"/>
              <w:bottom w:w="90" w:type="dxa"/>
              <w:left w:w="90" w:type="dxa"/>
              <w:right w:w="90" w:type="dxa"/>
            </w:tcMar>
          </w:tcPr>
          <w:p>
            <w:pPr>
              <w:spacing w:after="60" w:before="60"/>
            </w:pPr>
            <w:r>
              <w:rPr>
                <w:b/>
                <w:color w:val="FFFFFF"/>
                <w:sz w:val="20"/>
              </w:rPr>
              <w:t>USD</w:t>
            </w:r>
          </w:p>
        </w:tc>
        <w:tc>
          <w:tcPr>
            <w:tcW w:type="dxa" w:w="4968"/>
            <w:vAlign w:val="center"/>
            <w:shd w:fill="263746"/>
            <w:tcMar>
              <w:top w:w="90" w:type="dxa"/>
              <w:bottom w:w="90" w:type="dxa"/>
              <w:left w:w="90" w:type="dxa"/>
              <w:right w:w="90" w:type="dxa"/>
            </w:tcMar>
          </w:tcPr>
          <w:p>
            <w:pPr>
              <w:spacing w:after="60" w:before="60"/>
            </w:pPr>
            <w:r>
              <w:rPr>
                <w:b/>
                <w:color w:val="FFFFFF"/>
                <w:sz w:val="20"/>
              </w:rPr>
              <w:t>Basis</w:t>
            </w:r>
          </w:p>
        </w:tc>
      </w:tr>
      <w:tr>
        <w:trPr>
          <w:cantSplit/>
        </w:trPr>
        <w:tc>
          <w:tcPr>
            <w:tcW w:type="dxa" w:w="2880"/>
            <w:vAlign w:val="center"/>
            <w:shd w:fill="F2F5F7"/>
            <w:tcMar>
              <w:top w:w="90" w:type="dxa"/>
              <w:bottom w:w="90" w:type="dxa"/>
              <w:left w:w="90" w:type="dxa"/>
              <w:right w:w="90" w:type="dxa"/>
            </w:tcMar>
          </w:tcPr>
          <w:p>
            <w:pPr>
              <w:spacing w:after="60" w:before="60"/>
            </w:pPr>
            <w:r>
              <w:rPr>
                <w:sz w:val="20"/>
              </w:rPr>
              <w:t>Staging server, 2 GB</w:t>
            </w:r>
          </w:p>
        </w:tc>
        <w:tc>
          <w:tcPr>
            <w:tcW w:type="dxa" w:w="2376"/>
            <w:vAlign w:val="center"/>
            <w:shd w:fill="F2F5F7"/>
            <w:tcMar>
              <w:top w:w="90" w:type="dxa"/>
              <w:bottom w:w="90" w:type="dxa"/>
              <w:left w:w="90" w:type="dxa"/>
              <w:right w:w="90" w:type="dxa"/>
            </w:tcMar>
          </w:tcPr>
          <w:p>
            <w:pPr>
              <w:spacing w:after="60" w:before="60"/>
            </w:pPr>
            <w:r>
              <w:rPr>
                <w:sz w:val="20"/>
              </w:rPr>
              <w:t>12.00</w:t>
            </w:r>
          </w:p>
        </w:tc>
        <w:tc>
          <w:tcPr>
            <w:tcW w:type="dxa" w:w="4968"/>
            <w:vAlign w:val="center"/>
            <w:shd w:fill="F2F5F7"/>
            <w:tcMar>
              <w:top w:w="90" w:type="dxa"/>
              <w:bottom w:w="90" w:type="dxa"/>
              <w:left w:w="90" w:type="dxa"/>
              <w:right w:w="90" w:type="dxa"/>
            </w:tcMar>
          </w:tcPr>
          <w:p>
            <w:pPr>
              <w:spacing w:after="60" w:before="60"/>
            </w:pPr>
            <w:r>
              <w:rPr>
                <w:sz w:val="20"/>
              </w:rPr>
              <w:t>Published reference plan</w:t>
            </w:r>
          </w:p>
        </w:tc>
      </w:tr>
      <w:tr>
        <w:trPr>
          <w:cantSplit/>
        </w:trPr>
        <w:tc>
          <w:tcPr>
            <w:tcW w:type="dxa" w:w="2880"/>
            <w:vAlign w:val="center"/>
            <w:shd w:fill="FFFFFF"/>
            <w:tcMar>
              <w:top w:w="90" w:type="dxa"/>
              <w:bottom w:w="90" w:type="dxa"/>
              <w:left w:w="90" w:type="dxa"/>
              <w:right w:w="90" w:type="dxa"/>
            </w:tcMar>
          </w:tcPr>
          <w:p>
            <w:pPr>
              <w:spacing w:after="60" w:before="60"/>
            </w:pPr>
            <w:r>
              <w:rPr>
                <w:sz w:val="20"/>
              </w:rPr>
              <w:t>Production server, 4 GB</w:t>
            </w:r>
          </w:p>
        </w:tc>
        <w:tc>
          <w:tcPr>
            <w:tcW w:type="dxa" w:w="2376"/>
            <w:vAlign w:val="center"/>
            <w:shd w:fill="FFFFFF"/>
            <w:tcMar>
              <w:top w:w="90" w:type="dxa"/>
              <w:bottom w:w="90" w:type="dxa"/>
              <w:left w:w="90" w:type="dxa"/>
              <w:right w:w="90" w:type="dxa"/>
            </w:tcMar>
          </w:tcPr>
          <w:p>
            <w:pPr>
              <w:spacing w:after="60" w:before="60"/>
            </w:pPr>
            <w:r>
              <w:rPr>
                <w:sz w:val="20"/>
              </w:rPr>
              <w:t>24.00</w:t>
            </w:r>
          </w:p>
        </w:tc>
        <w:tc>
          <w:tcPr>
            <w:tcW w:type="dxa" w:w="4968"/>
            <w:vAlign w:val="center"/>
            <w:shd w:fill="FFFFFF"/>
            <w:tcMar>
              <w:top w:w="90" w:type="dxa"/>
              <w:bottom w:w="90" w:type="dxa"/>
              <w:left w:w="90" w:type="dxa"/>
              <w:right w:w="90" w:type="dxa"/>
            </w:tcMar>
          </w:tcPr>
          <w:p>
            <w:pPr>
              <w:spacing w:after="60" w:before="60"/>
            </w:pPr>
            <w:r>
              <w:rPr>
                <w:sz w:val="20"/>
              </w:rPr>
              <w:t>Published reference plan</w:t>
            </w:r>
          </w:p>
        </w:tc>
      </w:tr>
      <w:tr>
        <w:trPr>
          <w:cantSplit/>
        </w:trPr>
        <w:tc>
          <w:tcPr>
            <w:tcW w:type="dxa" w:w="2880"/>
            <w:vAlign w:val="center"/>
            <w:shd w:fill="F2F5F7"/>
            <w:tcMar>
              <w:top w:w="90" w:type="dxa"/>
              <w:bottom w:w="90" w:type="dxa"/>
              <w:left w:w="90" w:type="dxa"/>
              <w:right w:w="90" w:type="dxa"/>
            </w:tcMar>
          </w:tcPr>
          <w:p>
            <w:pPr>
              <w:spacing w:after="60" w:before="60"/>
            </w:pPr>
            <w:r>
              <w:rPr>
                <w:sz w:val="20"/>
              </w:rPr>
              <w:t>Weekly staging and daily production VM backups</w:t>
            </w:r>
          </w:p>
        </w:tc>
        <w:tc>
          <w:tcPr>
            <w:tcW w:type="dxa" w:w="2376"/>
            <w:vAlign w:val="center"/>
            <w:shd w:fill="F2F5F7"/>
            <w:tcMar>
              <w:top w:w="90" w:type="dxa"/>
              <w:bottom w:w="90" w:type="dxa"/>
              <w:left w:w="90" w:type="dxa"/>
              <w:right w:w="90" w:type="dxa"/>
            </w:tcMar>
          </w:tcPr>
          <w:p>
            <w:pPr>
              <w:spacing w:after="60" w:before="60"/>
            </w:pPr>
            <w:r>
              <w:rPr>
                <w:sz w:val="20"/>
              </w:rPr>
              <w:t>9.60</w:t>
            </w:r>
          </w:p>
        </w:tc>
        <w:tc>
          <w:tcPr>
            <w:tcW w:type="dxa" w:w="4968"/>
            <w:vAlign w:val="center"/>
            <w:shd w:fill="F2F5F7"/>
            <w:tcMar>
              <w:top w:w="90" w:type="dxa"/>
              <w:bottom w:w="90" w:type="dxa"/>
              <w:left w:w="90" w:type="dxa"/>
              <w:right w:w="90" w:type="dxa"/>
            </w:tcMar>
          </w:tcPr>
          <w:p>
            <w:pPr>
              <w:spacing w:after="60" w:before="60"/>
            </w:pPr>
            <w:r>
              <w:rPr>
                <w:sz w:val="20"/>
              </w:rPr>
              <w:t>20% of $12 + 30% of $24</w:t>
            </w:r>
          </w:p>
        </w:tc>
      </w:tr>
      <w:tr>
        <w:trPr>
          <w:cantSplit/>
        </w:trPr>
        <w:tc>
          <w:tcPr>
            <w:tcW w:type="dxa" w:w="2880"/>
            <w:vAlign w:val="center"/>
            <w:shd w:fill="FFFFFF"/>
            <w:tcMar>
              <w:top w:w="90" w:type="dxa"/>
              <w:bottom w:w="90" w:type="dxa"/>
              <w:left w:w="90" w:type="dxa"/>
              <w:right w:w="90" w:type="dxa"/>
            </w:tcMar>
          </w:tcPr>
          <w:p>
            <w:pPr>
              <w:spacing w:after="60" w:before="60"/>
            </w:pPr>
            <w:r>
              <w:rPr>
                <w:sz w:val="20"/>
              </w:rPr>
              <w:t>Encrypted off-server database backups and limited uploads</w:t>
            </w:r>
          </w:p>
        </w:tc>
        <w:tc>
          <w:tcPr>
            <w:tcW w:type="dxa" w:w="2376"/>
            <w:vAlign w:val="center"/>
            <w:shd w:fill="FFFFFF"/>
            <w:tcMar>
              <w:top w:w="90" w:type="dxa"/>
              <w:bottom w:w="90" w:type="dxa"/>
              <w:left w:w="90" w:type="dxa"/>
              <w:right w:w="90" w:type="dxa"/>
            </w:tcMar>
          </w:tcPr>
          <w:p>
            <w:pPr>
              <w:spacing w:after="60" w:before="60"/>
            </w:pPr>
            <w:r>
              <w:rPr>
                <w:sz w:val="20"/>
              </w:rPr>
              <w:t>5.00</w:t>
            </w:r>
          </w:p>
        </w:tc>
        <w:tc>
          <w:tcPr>
            <w:tcW w:type="dxa" w:w="4968"/>
            <w:vAlign w:val="center"/>
            <w:shd w:fill="FFFFFF"/>
            <w:tcMar>
              <w:top w:w="90" w:type="dxa"/>
              <w:bottom w:w="90" w:type="dxa"/>
              <w:left w:w="90" w:type="dxa"/>
              <w:right w:w="90" w:type="dxa"/>
            </w:tcMar>
          </w:tcPr>
          <w:p>
            <w:pPr>
              <w:spacing w:after="60" w:before="60"/>
            </w:pPr>
            <w:r>
              <w:rPr>
                <w:sz w:val="20"/>
              </w:rPr>
              <w:t>Allowance; select provider and retention</w:t>
            </w:r>
          </w:p>
        </w:tc>
      </w:tr>
      <w:tr>
        <w:trPr>
          <w:cantSplit/>
        </w:trPr>
        <w:tc>
          <w:tcPr>
            <w:tcW w:type="dxa" w:w="2880"/>
            <w:vAlign w:val="center"/>
            <w:shd w:fill="F2F5F7"/>
            <w:tcMar>
              <w:top w:w="90" w:type="dxa"/>
              <w:bottom w:w="90" w:type="dxa"/>
              <w:left w:w="90" w:type="dxa"/>
              <w:right w:w="90" w:type="dxa"/>
            </w:tcMar>
          </w:tcPr>
          <w:p>
            <w:pPr>
              <w:spacing w:after="60" w:before="60"/>
            </w:pPr>
            <w:r>
              <w:rPr>
                <w:sz w:val="20"/>
              </w:rPr>
              <w:t>Public static website</w:t>
            </w:r>
          </w:p>
        </w:tc>
        <w:tc>
          <w:tcPr>
            <w:tcW w:type="dxa" w:w="2376"/>
            <w:vAlign w:val="center"/>
            <w:shd w:fill="F2F5F7"/>
            <w:tcMar>
              <w:top w:w="90" w:type="dxa"/>
              <w:bottom w:w="90" w:type="dxa"/>
              <w:left w:w="90" w:type="dxa"/>
              <w:right w:w="90" w:type="dxa"/>
            </w:tcMar>
          </w:tcPr>
          <w:p>
            <w:pPr>
              <w:spacing w:after="60" w:before="60"/>
            </w:pPr>
            <w:r>
              <w:rPr>
                <w:sz w:val="20"/>
              </w:rPr>
              <w:t>0.00</w:t>
            </w:r>
          </w:p>
        </w:tc>
        <w:tc>
          <w:tcPr>
            <w:tcW w:type="dxa" w:w="4968"/>
            <w:vAlign w:val="center"/>
            <w:shd w:fill="F2F5F7"/>
            <w:tcMar>
              <w:top w:w="90" w:type="dxa"/>
              <w:bottom w:w="90" w:type="dxa"/>
              <w:left w:w="90" w:type="dxa"/>
              <w:right w:w="90" w:type="dxa"/>
            </w:tcMar>
          </w:tcPr>
          <w:p>
            <w:pPr>
              <w:spacing w:after="60" w:before="60"/>
            </w:pPr>
            <w:r>
              <w:rPr>
                <w:sz w:val="20"/>
              </w:rPr>
              <w:t>Within free service limits</w:t>
            </w:r>
          </w:p>
        </w:tc>
      </w:tr>
      <w:tr>
        <w:trPr>
          <w:cantSplit/>
        </w:trPr>
        <w:tc>
          <w:tcPr>
            <w:tcW w:type="dxa" w:w="2880"/>
            <w:vAlign w:val="center"/>
            <w:shd w:fill="FFFFFF"/>
            <w:tcMar>
              <w:top w:w="90" w:type="dxa"/>
              <w:bottom w:w="90" w:type="dxa"/>
              <w:left w:w="90" w:type="dxa"/>
              <w:right w:w="90" w:type="dxa"/>
            </w:tcMar>
          </w:tcPr>
          <w:p>
            <w:pPr>
              <w:spacing w:after="60" w:before="60"/>
            </w:pPr>
            <w:r>
              <w:rPr>
                <w:sz w:val="20"/>
              </w:rPr>
              <w:t>Domain renewal allocation</w:t>
            </w:r>
          </w:p>
        </w:tc>
        <w:tc>
          <w:tcPr>
            <w:tcW w:type="dxa" w:w="2376"/>
            <w:vAlign w:val="center"/>
            <w:shd w:fill="FFFFFF"/>
            <w:tcMar>
              <w:top w:w="90" w:type="dxa"/>
              <w:bottom w:w="90" w:type="dxa"/>
              <w:left w:w="90" w:type="dxa"/>
              <w:right w:w="90" w:type="dxa"/>
            </w:tcMar>
          </w:tcPr>
          <w:p>
            <w:pPr>
              <w:spacing w:after="60" w:before="60"/>
            </w:pPr>
            <w:r>
              <w:rPr>
                <w:sz w:val="20"/>
              </w:rPr>
              <w:t>2.00</w:t>
            </w:r>
          </w:p>
        </w:tc>
        <w:tc>
          <w:tcPr>
            <w:tcW w:type="dxa" w:w="4968"/>
            <w:vAlign w:val="center"/>
            <w:shd w:fill="FFFFFF"/>
            <w:tcMar>
              <w:top w:w="90" w:type="dxa"/>
              <w:bottom w:w="90" w:type="dxa"/>
              <w:left w:w="90" w:type="dxa"/>
              <w:right w:w="90" w:type="dxa"/>
            </w:tcMar>
          </w:tcPr>
          <w:p>
            <w:pPr>
              <w:spacing w:after="60" w:before="60"/>
            </w:pPr>
            <w:r>
              <w:rPr>
                <w:sz w:val="20"/>
              </w:rPr>
              <w:t>$24/year planning allowance</w:t>
            </w:r>
          </w:p>
        </w:tc>
      </w:tr>
      <w:tr>
        <w:trPr>
          <w:cantSplit/>
        </w:trPr>
        <w:tc>
          <w:tcPr>
            <w:tcW w:type="dxa" w:w="2880"/>
            <w:vAlign w:val="center"/>
            <w:shd w:fill="F2F5F7"/>
            <w:tcMar>
              <w:top w:w="90" w:type="dxa"/>
              <w:bottom w:w="90" w:type="dxa"/>
              <w:left w:w="90" w:type="dxa"/>
              <w:right w:w="90" w:type="dxa"/>
            </w:tcMar>
          </w:tcPr>
          <w:p>
            <w:pPr>
              <w:spacing w:after="60" w:before="60"/>
            </w:pPr>
            <w:r>
              <w:rPr>
                <w:sz w:val="20"/>
              </w:rPr>
              <w:t>Transactional email</w:t>
            </w:r>
          </w:p>
        </w:tc>
        <w:tc>
          <w:tcPr>
            <w:tcW w:type="dxa" w:w="2376"/>
            <w:vAlign w:val="center"/>
            <w:shd w:fill="F2F5F7"/>
            <w:tcMar>
              <w:top w:w="90" w:type="dxa"/>
              <w:bottom w:w="90" w:type="dxa"/>
              <w:left w:w="90" w:type="dxa"/>
              <w:right w:w="90" w:type="dxa"/>
            </w:tcMar>
          </w:tcPr>
          <w:p>
            <w:pPr>
              <w:spacing w:after="60" w:before="60"/>
            </w:pPr>
            <w:r>
              <w:rPr>
                <w:sz w:val="20"/>
              </w:rPr>
              <w:t>5.00</w:t>
            </w:r>
          </w:p>
        </w:tc>
        <w:tc>
          <w:tcPr>
            <w:tcW w:type="dxa" w:w="4968"/>
            <w:vAlign w:val="center"/>
            <w:shd w:fill="F2F5F7"/>
            <w:tcMar>
              <w:top w:w="90" w:type="dxa"/>
              <w:bottom w:w="90" w:type="dxa"/>
              <w:left w:w="90" w:type="dxa"/>
              <w:right w:w="90" w:type="dxa"/>
            </w:tcMar>
          </w:tcPr>
          <w:p>
            <w:pPr>
              <w:spacing w:after="60" w:before="60"/>
            </w:pPr>
            <w:r>
              <w:rPr>
                <w:sz w:val="20"/>
              </w:rPr>
              <w:t>Low-volume allowance; no SMS included</w:t>
            </w:r>
          </w:p>
        </w:tc>
      </w:tr>
      <w:tr>
        <w:trPr>
          <w:cantSplit/>
        </w:trPr>
        <w:tc>
          <w:tcPr>
            <w:tcW w:type="dxa" w:w="2880"/>
            <w:vAlign w:val="center"/>
            <w:shd w:fill="FFFFFF"/>
            <w:tcMar>
              <w:top w:w="90" w:type="dxa"/>
              <w:bottom w:w="90" w:type="dxa"/>
              <w:left w:w="90" w:type="dxa"/>
              <w:right w:w="90" w:type="dxa"/>
            </w:tcMar>
          </w:tcPr>
          <w:p>
            <w:pPr>
              <w:spacing w:after="60" w:before="60"/>
            </w:pPr>
            <w:r>
              <w:rPr>
                <w:sz w:val="20"/>
              </w:rPr>
              <w:t>Monitoring, CI/mobile build allowance</w:t>
            </w:r>
          </w:p>
        </w:tc>
        <w:tc>
          <w:tcPr>
            <w:tcW w:type="dxa" w:w="2376"/>
            <w:vAlign w:val="center"/>
            <w:shd w:fill="FFFFFF"/>
            <w:tcMar>
              <w:top w:w="90" w:type="dxa"/>
              <w:bottom w:w="90" w:type="dxa"/>
              <w:left w:w="90" w:type="dxa"/>
              <w:right w:w="90" w:type="dxa"/>
            </w:tcMar>
          </w:tcPr>
          <w:p>
            <w:pPr>
              <w:spacing w:after="60" w:before="60"/>
            </w:pPr>
            <w:r>
              <w:rPr>
                <w:sz w:val="20"/>
              </w:rPr>
              <w:t>15.00</w:t>
            </w:r>
          </w:p>
        </w:tc>
        <w:tc>
          <w:tcPr>
            <w:tcW w:type="dxa" w:w="4968"/>
            <w:vAlign w:val="center"/>
            <w:shd w:fill="FFFFFF"/>
            <w:tcMar>
              <w:top w:w="90" w:type="dxa"/>
              <w:bottom w:w="90" w:type="dxa"/>
              <w:left w:w="90" w:type="dxa"/>
              <w:right w:w="90" w:type="dxa"/>
            </w:tcMar>
          </w:tcPr>
          <w:p>
            <w:pPr>
              <w:spacing w:after="60" w:before="60"/>
            </w:pPr>
            <w:r>
              <w:rPr>
                <w:sz w:val="20"/>
              </w:rPr>
              <w:t>Usage-limited allowance, not a quoted plan</w:t>
            </w:r>
          </w:p>
        </w:tc>
      </w:tr>
      <w:tr>
        <w:trPr>
          <w:cantSplit/>
        </w:trPr>
        <w:tc>
          <w:tcPr>
            <w:tcW w:type="dxa" w:w="2880"/>
            <w:vAlign w:val="center"/>
            <w:shd w:fill="F2F5F7"/>
            <w:tcMar>
              <w:top w:w="90" w:type="dxa"/>
              <w:bottom w:w="90" w:type="dxa"/>
              <w:left w:w="90" w:type="dxa"/>
              <w:right w:w="90" w:type="dxa"/>
            </w:tcMar>
          </w:tcPr>
          <w:p>
            <w:pPr>
              <w:spacing w:after="60" w:before="60"/>
            </w:pPr>
            <w:r>
              <w:rPr>
                <w:sz w:val="20"/>
              </w:rPr>
              <w:t>Apple membership allocation</w:t>
            </w:r>
          </w:p>
        </w:tc>
        <w:tc>
          <w:tcPr>
            <w:tcW w:type="dxa" w:w="2376"/>
            <w:vAlign w:val="center"/>
            <w:shd w:fill="F2F5F7"/>
            <w:tcMar>
              <w:top w:w="90" w:type="dxa"/>
              <w:bottom w:w="90" w:type="dxa"/>
              <w:left w:w="90" w:type="dxa"/>
              <w:right w:w="90" w:type="dxa"/>
            </w:tcMar>
          </w:tcPr>
          <w:p>
            <w:pPr>
              <w:spacing w:after="60" w:before="60"/>
            </w:pPr>
            <w:r>
              <w:rPr>
                <w:sz w:val="20"/>
              </w:rPr>
              <w:t>8.25</w:t>
            </w:r>
          </w:p>
        </w:tc>
        <w:tc>
          <w:tcPr>
            <w:tcW w:type="dxa" w:w="4968"/>
            <w:vAlign w:val="center"/>
            <w:shd w:fill="F2F5F7"/>
            <w:tcMar>
              <w:top w:w="90" w:type="dxa"/>
              <w:bottom w:w="90" w:type="dxa"/>
              <w:left w:w="90" w:type="dxa"/>
              <w:right w:w="90" w:type="dxa"/>
            </w:tcMar>
          </w:tcPr>
          <w:p>
            <w:pPr>
              <w:spacing w:after="60" w:before="60"/>
            </w:pPr>
            <w:r>
              <w:rPr>
                <w:sz w:val="20"/>
              </w:rPr>
              <w:t>$99/year</w:t>
            </w:r>
          </w:p>
        </w:tc>
      </w:tr>
      <w:tr>
        <w:trPr>
          <w:cantSplit/>
        </w:trPr>
        <w:tc>
          <w:tcPr>
            <w:tcW w:type="dxa" w:w="2880"/>
            <w:vAlign w:val="center"/>
            <w:shd w:fill="FFFFFF"/>
            <w:tcMar>
              <w:top w:w="90" w:type="dxa"/>
              <w:bottom w:w="90" w:type="dxa"/>
              <w:left w:w="90" w:type="dxa"/>
              <w:right w:w="90" w:type="dxa"/>
            </w:tcMar>
          </w:tcPr>
          <w:p>
            <w:pPr>
              <w:spacing w:after="60" w:before="60"/>
            </w:pPr>
            <w:r>
              <w:rPr>
                <w:sz w:val="20"/>
              </w:rPr>
              <w:t>Maintenance and shared support labor</w:t>
            </w:r>
          </w:p>
        </w:tc>
        <w:tc>
          <w:tcPr>
            <w:tcW w:type="dxa" w:w="2376"/>
            <w:vAlign w:val="center"/>
            <w:shd w:fill="FFFFFF"/>
            <w:tcMar>
              <w:top w:w="90" w:type="dxa"/>
              <w:bottom w:w="90" w:type="dxa"/>
              <w:left w:w="90" w:type="dxa"/>
              <w:right w:w="90" w:type="dxa"/>
            </w:tcMar>
          </w:tcPr>
          <w:p>
            <w:pPr>
              <w:spacing w:after="60" w:before="60"/>
            </w:pPr>
            <w:r>
              <w:rPr>
                <w:sz w:val="20"/>
              </w:rPr>
              <w:t>300.00</w:t>
            </w:r>
          </w:p>
        </w:tc>
        <w:tc>
          <w:tcPr>
            <w:tcW w:type="dxa" w:w="4968"/>
            <w:vAlign w:val="center"/>
            <w:shd w:fill="FFFFFF"/>
            <w:tcMar>
              <w:top w:w="90" w:type="dxa"/>
              <w:bottom w:w="90" w:type="dxa"/>
              <w:left w:w="90" w:type="dxa"/>
              <w:right w:w="90" w:type="dxa"/>
            </w:tcMar>
          </w:tcPr>
          <w:p>
            <w:pPr>
              <w:spacing w:after="60" w:before="60"/>
            </w:pPr>
            <w:r>
              <w:rPr>
                <w:sz w:val="20"/>
              </w:rPr>
              <w:t>Assumed 6 hours/month at $50/hour</w:t>
            </w:r>
          </w:p>
        </w:tc>
      </w:tr>
      <w:tr>
        <w:trPr>
          <w:cantSplit/>
        </w:trPr>
        <w:tc>
          <w:tcPr>
            <w:tcW w:type="dxa" w:w="2880"/>
            <w:vAlign w:val="center"/>
            <w:shd w:fill="F2F5F7"/>
            <w:tcMar>
              <w:top w:w="90" w:type="dxa"/>
              <w:bottom w:w="90" w:type="dxa"/>
              <w:left w:w="90" w:type="dxa"/>
              <w:right w:w="90" w:type="dxa"/>
            </w:tcMar>
          </w:tcPr>
          <w:p>
            <w:pPr>
              <w:spacing w:after="60" w:before="60"/>
            </w:pPr>
            <w:r>
              <w:rPr>
                <w:sz w:val="20"/>
              </w:rPr>
              <w:t>Product development cost recovery</w:t>
            </w:r>
          </w:p>
        </w:tc>
        <w:tc>
          <w:tcPr>
            <w:tcW w:type="dxa" w:w="2376"/>
            <w:vAlign w:val="center"/>
            <w:shd w:fill="F2F5F7"/>
            <w:tcMar>
              <w:top w:w="90" w:type="dxa"/>
              <w:bottom w:w="90" w:type="dxa"/>
              <w:left w:w="90" w:type="dxa"/>
              <w:right w:w="90" w:type="dxa"/>
            </w:tcMar>
          </w:tcPr>
          <w:p>
            <w:pPr>
              <w:spacing w:after="60" w:before="60"/>
            </w:pPr>
            <w:r>
              <w:rPr>
                <w:sz w:val="20"/>
              </w:rPr>
              <w:t>100.00</w:t>
            </w:r>
          </w:p>
        </w:tc>
        <w:tc>
          <w:tcPr>
            <w:tcW w:type="dxa" w:w="4968"/>
            <w:vAlign w:val="center"/>
            <w:shd w:fill="F2F5F7"/>
            <w:tcMar>
              <w:top w:w="90" w:type="dxa"/>
              <w:bottom w:w="90" w:type="dxa"/>
              <w:left w:w="90" w:type="dxa"/>
              <w:right w:w="90" w:type="dxa"/>
            </w:tcMar>
          </w:tcPr>
          <w:p>
            <w:pPr>
              <w:spacing w:after="60" w:before="60"/>
            </w:pPr>
            <w:r>
              <w:rPr>
                <w:sz w:val="20"/>
              </w:rPr>
              <w:t>Illustrative $3,600 amortized over 36 months</w:t>
            </w:r>
          </w:p>
        </w:tc>
      </w:tr>
      <w:tr>
        <w:trPr>
          <w:cantSplit/>
        </w:trPr>
        <w:tc>
          <w:tcPr>
            <w:tcW w:type="dxa" w:w="2880"/>
            <w:vAlign w:val="center"/>
            <w:shd w:fill="FFFFFF"/>
            <w:tcMar>
              <w:top w:w="90" w:type="dxa"/>
              <w:bottom w:w="90" w:type="dxa"/>
              <w:left w:w="90" w:type="dxa"/>
              <w:right w:w="90" w:type="dxa"/>
            </w:tcMar>
          </w:tcPr>
          <w:p>
            <w:pPr>
              <w:spacing w:after="60" w:before="60"/>
            </w:pPr>
            <w:r>
              <w:rPr>
                <w:sz w:val="20"/>
              </w:rPr>
              <w:t>Administration/security/accounting reserve</w:t>
            </w:r>
          </w:p>
        </w:tc>
        <w:tc>
          <w:tcPr>
            <w:tcW w:type="dxa" w:w="2376"/>
            <w:vAlign w:val="center"/>
            <w:shd w:fill="FFFFFF"/>
            <w:tcMar>
              <w:top w:w="90" w:type="dxa"/>
              <w:bottom w:w="90" w:type="dxa"/>
              <w:left w:w="90" w:type="dxa"/>
              <w:right w:w="90" w:type="dxa"/>
            </w:tcMar>
          </w:tcPr>
          <w:p>
            <w:pPr>
              <w:spacing w:after="60" w:before="60"/>
            </w:pPr>
            <w:r>
              <w:rPr>
                <w:sz w:val="20"/>
              </w:rPr>
              <w:t>50.00</w:t>
            </w:r>
          </w:p>
        </w:tc>
        <w:tc>
          <w:tcPr>
            <w:tcW w:type="dxa" w:w="4968"/>
            <w:vAlign w:val="center"/>
            <w:shd w:fill="FFFFFF"/>
            <w:tcMar>
              <w:top w:w="90" w:type="dxa"/>
              <w:bottom w:w="90" w:type="dxa"/>
              <w:left w:w="90" w:type="dxa"/>
              <w:right w:w="90" w:type="dxa"/>
            </w:tcMar>
          </w:tcPr>
          <w:p>
            <w:pPr>
              <w:spacing w:after="60" w:before="60"/>
            </w:pPr>
            <w:r>
              <w:rPr>
                <w:sz w:val="20"/>
              </w:rPr>
              <w:t>Allowance; replace with actual overhead</w:t>
            </w:r>
          </w:p>
        </w:tc>
      </w:tr>
      <w:tr>
        <w:trPr>
          <w:cantSplit/>
        </w:trPr>
        <w:tc>
          <w:tcPr>
            <w:tcW w:type="dxa" w:w="2880"/>
            <w:vAlign w:val="center"/>
            <w:shd w:fill="F2F5F7"/>
            <w:tcMar>
              <w:top w:w="90" w:type="dxa"/>
              <w:bottom w:w="90" w:type="dxa"/>
              <w:left w:w="90" w:type="dxa"/>
              <w:right w:w="90" w:type="dxa"/>
            </w:tcMar>
          </w:tcPr>
          <w:p>
            <w:pPr>
              <w:spacing w:after="60" w:before="60"/>
            </w:pPr>
            <w:r>
              <w:rPr>
                <w:sz w:val="20"/>
              </w:rPr>
              <w:t>Contingency</w:t>
            </w:r>
          </w:p>
        </w:tc>
        <w:tc>
          <w:tcPr>
            <w:tcW w:type="dxa" w:w="2376"/>
            <w:vAlign w:val="center"/>
            <w:shd w:fill="F2F5F7"/>
            <w:tcMar>
              <w:top w:w="90" w:type="dxa"/>
              <w:bottom w:w="90" w:type="dxa"/>
              <w:left w:w="90" w:type="dxa"/>
              <w:right w:w="90" w:type="dxa"/>
            </w:tcMar>
          </w:tcPr>
          <w:p>
            <w:pPr>
              <w:spacing w:after="60" w:before="60"/>
            </w:pPr>
            <w:r>
              <w:rPr>
                <w:sz w:val="20"/>
              </w:rPr>
              <w:t>50.00</w:t>
            </w:r>
          </w:p>
        </w:tc>
        <w:tc>
          <w:tcPr>
            <w:tcW w:type="dxa" w:w="4968"/>
            <w:vAlign w:val="center"/>
            <w:shd w:fill="F2F5F7"/>
            <w:tcMar>
              <w:top w:w="90" w:type="dxa"/>
              <w:bottom w:w="90" w:type="dxa"/>
              <w:left w:w="90" w:type="dxa"/>
              <w:right w:w="90" w:type="dxa"/>
            </w:tcMar>
          </w:tcPr>
          <w:p>
            <w:pPr>
              <w:spacing w:after="60" w:before="60"/>
            </w:pPr>
            <w:r>
              <w:rPr>
                <w:sz w:val="20"/>
              </w:rPr>
              <w:t>Incident/usage buffer; not unlimited coverage</w:t>
            </w:r>
          </w:p>
        </w:tc>
      </w:tr>
      <w:tr>
        <w:trPr>
          <w:cantSplit/>
        </w:trPr>
        <w:tc>
          <w:tcPr>
            <w:tcW w:type="dxa" w:w="2880"/>
            <w:vAlign w:val="center"/>
            <w:shd w:fill="FFFFFF"/>
            <w:tcMar>
              <w:top w:w="90" w:type="dxa"/>
              <w:bottom w:w="90" w:type="dxa"/>
              <w:left w:w="90" w:type="dxa"/>
              <w:right w:w="90" w:type="dxa"/>
            </w:tcMar>
          </w:tcPr>
          <w:p>
            <w:pPr>
              <w:spacing w:after="60" w:before="60"/>
            </w:pPr>
            <w:r>
              <w:rPr>
                <w:sz w:val="20"/>
              </w:rPr>
            </w:r>
            <w:r>
              <w:rPr>
                <w:b/>
                <w:sz w:val="20"/>
              </w:rPr>
              <w:t>Total fixed monthly planning cost</w:t>
            </w:r>
            <w:r>
              <w:rPr>
                <w:sz w:val="20"/>
              </w:rPr>
            </w:r>
          </w:p>
        </w:tc>
        <w:tc>
          <w:tcPr>
            <w:tcW w:type="dxa" w:w="2376"/>
            <w:vAlign w:val="center"/>
            <w:shd w:fill="FFFFFF"/>
            <w:tcMar>
              <w:top w:w="90" w:type="dxa"/>
              <w:bottom w:w="90" w:type="dxa"/>
              <w:left w:w="90" w:type="dxa"/>
              <w:right w:w="90" w:type="dxa"/>
            </w:tcMar>
          </w:tcPr>
          <w:p>
            <w:pPr>
              <w:spacing w:after="60" w:before="60"/>
            </w:pPr>
            <w:r>
              <w:rPr>
                <w:sz w:val="20"/>
              </w:rPr>
            </w:r>
            <w:r>
              <w:rPr>
                <w:b/>
                <w:sz w:val="20"/>
              </w:rPr>
              <w:t>580.85</w:t>
            </w:r>
            <w:r>
              <w:rPr>
                <w:sz w:val="20"/>
              </w:rPr>
            </w:r>
          </w:p>
        </w:tc>
        <w:tc>
          <w:tcPr>
            <w:tcW w:type="dxa" w:w="4968"/>
            <w:vAlign w:val="center"/>
            <w:shd w:fill="FFFFFF"/>
            <w:tcMar>
              <w:top w:w="90" w:type="dxa"/>
              <w:bottom w:w="90" w:type="dxa"/>
              <w:left w:w="90" w:type="dxa"/>
              <w:right w:w="90" w:type="dxa"/>
            </w:tcMar>
          </w:tcPr>
          <w:p>
            <w:pPr>
              <w:spacing w:after="60" w:before="60"/>
            </w:pPr>
            <w:r>
              <w:rPr>
                <w:sz w:val="20"/>
              </w:rPr>
              <w:t>Before payment fees and customer-specific usage</w:t>
            </w:r>
          </w:p>
        </w:tc>
      </w:tr>
    </w:tbl>
    <w:p>
      <w:pPr>
        <w:spacing w:after="20"/>
      </w:pPr>
    </w:p>
    <w:p>
      <w:r>
        <w:t>Technical cash allowances excluding labor, development recovery, administration and contingency total $80.85/month, including Apple allocation. The hosting and VM-backup lines alone are $45.60/month. Low hosting cost does not imply low total business cost. Provider taxes, insurance, audits, legal work and required regulated hosting must be quoted and added if applicable; until then a true all-cost net profit cannot be guaranteed. The target here is operating margin before income tax; an after-income-tax target needs an additional tax provision.</w:t>
      </w:r>
    </w:p>
    <w:p>
      <w:r>
        <w:t>Additional startup items: $25 Play registration, actual domain prepayment and Apple annual prepayment (avoid counting these twice in annual cash forecasts), new mobile/API/website development, identity/contract review and security testing. The $3,600 development recovery figure is an example, not an estimate of the remaining build effort. Add actual initial investment K/months-of-recovery to the model, replacing the $100 placeholder. Owner time has a cost even if unpaid.</w:t>
      </w:r>
    </w:p>
    <w:p>
      <w:pPr>
        <w:pStyle w:val="Heading1"/>
      </w:pPr>
      <w:r>
        <w:t>Subscription model and margin controls</w:t>
      </w:r>
    </w:p>
    <w:p>
      <w:r>
        <w:t>Start with agency subscriptions. A billable active worker is a unique worker with an active agency employment/assignment in the billing period, counted once per agency. Free candidate profiles and inactive archived records do not count. Document boundary dates, invited/pending accounts, admins, proration and overages before billing. No cross-agency use of a person's identity should create ownership of that person or expose private career data.</w:t>
      </w:r>
    </w:p>
    <w:p>
      <w:r>
        <w:t>Suggested USD prices for validation, monthly billing: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304"/>
        <w:gridCol w:w="2736"/>
        <w:gridCol w:w="3240"/>
      </w:tblGrid>
      <w:tr>
        <w:trPr>
          <w:cantSplit/>
          <w:tblHeader/>
        </w:trPr>
        <w:tc>
          <w:tcPr>
            <w:tcW w:type="dxa" w:w="1944"/>
            <w:vAlign w:val="center"/>
            <w:shd w:fill="263746"/>
            <w:tcMar>
              <w:top w:w="90" w:type="dxa"/>
              <w:bottom w:w="90" w:type="dxa"/>
              <w:left w:w="90" w:type="dxa"/>
              <w:right w:w="90" w:type="dxa"/>
            </w:tcMar>
          </w:tcPr>
          <w:p>
            <w:pPr>
              <w:spacing w:after="60" w:before="60"/>
            </w:pPr>
            <w:r>
              <w:rPr>
                <w:b/>
                <w:color w:val="FFFFFF"/>
                <w:sz w:val="20"/>
              </w:rPr>
              <w:t>Plan</w:t>
            </w:r>
          </w:p>
        </w:tc>
        <w:tc>
          <w:tcPr>
            <w:tcW w:type="dxa" w:w="2304"/>
            <w:vAlign w:val="center"/>
            <w:shd w:fill="263746"/>
            <w:tcMar>
              <w:top w:w="90" w:type="dxa"/>
              <w:bottom w:w="90" w:type="dxa"/>
              <w:left w:w="90" w:type="dxa"/>
              <w:right w:w="90" w:type="dxa"/>
            </w:tcMar>
          </w:tcPr>
          <w:p>
            <w:pPr>
              <w:spacing w:after="60" w:before="60"/>
            </w:pPr>
            <w:r>
              <w:rPr>
                <w:b/>
                <w:color w:val="FFFFFF"/>
                <w:sz w:val="20"/>
              </w:rPr>
              <w:t>Monthly</w:t>
            </w:r>
          </w:p>
        </w:tc>
        <w:tc>
          <w:tcPr>
            <w:tcW w:type="dxa" w:w="2736"/>
            <w:vAlign w:val="center"/>
            <w:shd w:fill="263746"/>
            <w:tcMar>
              <w:top w:w="90" w:type="dxa"/>
              <w:bottom w:w="90" w:type="dxa"/>
              <w:left w:w="90" w:type="dxa"/>
              <w:right w:w="90" w:type="dxa"/>
            </w:tcMar>
          </w:tcPr>
          <w:p>
            <w:pPr>
              <w:spacing w:after="60" w:before="60"/>
            </w:pPr>
            <w:r>
              <w:rPr>
                <w:b/>
                <w:color w:val="FFFFFF"/>
                <w:sz w:val="20"/>
              </w:rPr>
              <w:t>Included active workers</w:t>
            </w:r>
          </w:p>
        </w:tc>
        <w:tc>
          <w:tcPr>
            <w:tcW w:type="dxa" w:w="3240"/>
            <w:vAlign w:val="center"/>
            <w:shd w:fill="263746"/>
            <w:tcMar>
              <w:top w:w="90" w:type="dxa"/>
              <w:bottom w:w="90" w:type="dxa"/>
              <w:left w:w="90" w:type="dxa"/>
              <w:right w:w="90" w:type="dxa"/>
            </w:tcMar>
          </w:tcPr>
          <w:p>
            <w:pPr>
              <w:spacing w:after="60" w:before="60"/>
            </w:pPr>
            <w:r>
              <w:rPr>
                <w:b/>
                <w:color w:val="FFFFFF"/>
                <w:sz w:val="20"/>
              </w:rPr>
              <w:t>Product scope proposed</w:t>
            </w:r>
          </w:p>
        </w:tc>
      </w:tr>
      <w:tr>
        <w:trPr>
          <w:cantSplit/>
        </w:trPr>
        <w:tc>
          <w:tcPr>
            <w:tcW w:type="dxa" w:w="1944"/>
            <w:vAlign w:val="center"/>
            <w:shd w:fill="F2F5F7"/>
            <w:tcMar>
              <w:top w:w="90" w:type="dxa"/>
              <w:bottom w:w="90" w:type="dxa"/>
              <w:left w:w="90" w:type="dxa"/>
              <w:right w:w="90" w:type="dxa"/>
            </w:tcMar>
          </w:tcPr>
          <w:p>
            <w:pPr>
              <w:spacing w:after="60" w:before="60"/>
            </w:pPr>
            <w:r>
              <w:rPr>
                <w:sz w:val="20"/>
              </w:rPr>
              <w:t>Starter</w:t>
            </w:r>
          </w:p>
        </w:tc>
        <w:tc>
          <w:tcPr>
            <w:tcW w:type="dxa" w:w="2304"/>
            <w:vAlign w:val="center"/>
            <w:shd w:fill="F2F5F7"/>
            <w:tcMar>
              <w:top w:w="90" w:type="dxa"/>
              <w:bottom w:w="90" w:type="dxa"/>
              <w:left w:w="90" w:type="dxa"/>
              <w:right w:w="90" w:type="dxa"/>
            </w:tcMar>
          </w:tcPr>
          <w:p>
            <w:pPr>
              <w:spacing w:after="60" w:before="60"/>
            </w:pPr>
            <w:r>
              <w:rPr>
                <w:sz w:val="20"/>
              </w:rPr>
              <w:t>$59</w:t>
            </w:r>
          </w:p>
        </w:tc>
        <w:tc>
          <w:tcPr>
            <w:tcW w:type="dxa" w:w="2736"/>
            <w:vAlign w:val="center"/>
            <w:shd w:fill="F2F5F7"/>
            <w:tcMar>
              <w:top w:w="90" w:type="dxa"/>
              <w:bottom w:w="90" w:type="dxa"/>
              <w:left w:w="90" w:type="dxa"/>
              <w:right w:w="90" w:type="dxa"/>
            </w:tcMar>
          </w:tcPr>
          <w:p>
            <w:pPr>
              <w:spacing w:after="60" w:before="60"/>
            </w:pPr>
            <w:r>
              <w:rPr>
                <w:sz w:val="20"/>
              </w:rPr>
              <w:t>10</w:t>
            </w:r>
          </w:p>
        </w:tc>
        <w:tc>
          <w:tcPr>
            <w:tcW w:type="dxa" w:w="3240"/>
            <w:vAlign w:val="center"/>
            <w:shd w:fill="F2F5F7"/>
            <w:tcMar>
              <w:top w:w="90" w:type="dxa"/>
              <w:bottom w:w="90" w:type="dxa"/>
              <w:left w:w="90" w:type="dxa"/>
              <w:right w:w="90" w:type="dxa"/>
            </w:tcMar>
          </w:tcPr>
          <w:p>
            <w:pPr>
              <w:spacing w:after="60" w:before="60"/>
            </w:pPr>
            <w:r>
              <w:rPr>
                <w:sz w:val="20"/>
              </w:rPr>
              <w:t>Recruitment, profiles, invitations and core agency administration</w:t>
            </w:r>
          </w:p>
        </w:tc>
      </w:tr>
      <w:tr>
        <w:trPr>
          <w:cantSplit/>
        </w:trPr>
        <w:tc>
          <w:tcPr>
            <w:tcW w:type="dxa" w:w="1944"/>
            <w:vAlign w:val="center"/>
            <w:shd w:fill="FFFFFF"/>
            <w:tcMar>
              <w:top w:w="90" w:type="dxa"/>
              <w:bottom w:w="90" w:type="dxa"/>
              <w:left w:w="90" w:type="dxa"/>
              <w:right w:w="90" w:type="dxa"/>
            </w:tcMar>
          </w:tcPr>
          <w:p>
            <w:pPr>
              <w:spacing w:after="60" w:before="60"/>
            </w:pPr>
            <w:r>
              <w:rPr>
                <w:sz w:val="20"/>
              </w:rPr>
              <w:t>Operations</w:t>
            </w:r>
          </w:p>
        </w:tc>
        <w:tc>
          <w:tcPr>
            <w:tcW w:type="dxa" w:w="2304"/>
            <w:vAlign w:val="center"/>
            <w:shd w:fill="FFFFFF"/>
            <w:tcMar>
              <w:top w:w="90" w:type="dxa"/>
              <w:bottom w:w="90" w:type="dxa"/>
              <w:left w:w="90" w:type="dxa"/>
              <w:right w:w="90" w:type="dxa"/>
            </w:tcMar>
          </w:tcPr>
          <w:p>
            <w:pPr>
              <w:spacing w:after="60" w:before="60"/>
            </w:pPr>
            <w:r>
              <w:rPr>
                <w:sz w:val="20"/>
              </w:rPr>
              <w:t>$129</w:t>
            </w:r>
          </w:p>
        </w:tc>
        <w:tc>
          <w:tcPr>
            <w:tcW w:type="dxa" w:w="2736"/>
            <w:vAlign w:val="center"/>
            <w:shd w:fill="FFFFFF"/>
            <w:tcMar>
              <w:top w:w="90" w:type="dxa"/>
              <w:bottom w:w="90" w:type="dxa"/>
              <w:left w:w="90" w:type="dxa"/>
              <w:right w:w="90" w:type="dxa"/>
            </w:tcMar>
          </w:tcPr>
          <w:p>
            <w:pPr>
              <w:spacing w:after="60" w:before="60"/>
            </w:pPr>
            <w:r>
              <w:rPr>
                <w:sz w:val="20"/>
              </w:rPr>
              <w:t>30</w:t>
            </w:r>
          </w:p>
        </w:tc>
        <w:tc>
          <w:tcPr>
            <w:tcW w:type="dxa" w:w="3240"/>
            <w:vAlign w:val="center"/>
            <w:shd w:fill="FFFFFF"/>
            <w:tcMar>
              <w:top w:w="90" w:type="dxa"/>
              <w:bottom w:w="90" w:type="dxa"/>
              <w:left w:w="90" w:type="dxa"/>
              <w:right w:w="90" w:type="dxa"/>
            </w:tcMar>
          </w:tcPr>
          <w:p>
            <w:pPr>
              <w:spacing w:after="60" w:before="60"/>
            </w:pPr>
            <w:r>
              <w:rPr>
                <w:sz w:val="20"/>
              </w:rPr>
              <w:t>Starter plus scheduling, time, leave, notes and operational reviews</w:t>
            </w:r>
          </w:p>
        </w:tc>
      </w:tr>
      <w:tr>
        <w:trPr>
          <w:cantSplit/>
        </w:trPr>
        <w:tc>
          <w:tcPr>
            <w:tcW w:type="dxa" w:w="1944"/>
            <w:vAlign w:val="center"/>
            <w:shd w:fill="F2F5F7"/>
            <w:tcMar>
              <w:top w:w="90" w:type="dxa"/>
              <w:bottom w:w="90" w:type="dxa"/>
              <w:left w:w="90" w:type="dxa"/>
              <w:right w:w="90" w:type="dxa"/>
            </w:tcMar>
          </w:tcPr>
          <w:p>
            <w:pPr>
              <w:spacing w:after="60" w:before="60"/>
            </w:pPr>
            <w:r>
              <w:rPr>
                <w:sz w:val="20"/>
              </w:rPr>
              <w:t>Growth</w:t>
            </w:r>
          </w:p>
        </w:tc>
        <w:tc>
          <w:tcPr>
            <w:tcW w:type="dxa" w:w="2304"/>
            <w:vAlign w:val="center"/>
            <w:shd w:fill="F2F5F7"/>
            <w:tcMar>
              <w:top w:w="90" w:type="dxa"/>
              <w:bottom w:w="90" w:type="dxa"/>
              <w:left w:w="90" w:type="dxa"/>
              <w:right w:w="90" w:type="dxa"/>
            </w:tcMar>
          </w:tcPr>
          <w:p>
            <w:pPr>
              <w:spacing w:after="60" w:before="60"/>
            </w:pPr>
            <w:r>
              <w:rPr>
                <w:sz w:val="20"/>
              </w:rPr>
              <w:t>$249</w:t>
            </w:r>
          </w:p>
        </w:tc>
        <w:tc>
          <w:tcPr>
            <w:tcW w:type="dxa" w:w="2736"/>
            <w:vAlign w:val="center"/>
            <w:shd w:fill="F2F5F7"/>
            <w:tcMar>
              <w:top w:w="90" w:type="dxa"/>
              <w:bottom w:w="90" w:type="dxa"/>
              <w:left w:w="90" w:type="dxa"/>
              <w:right w:w="90" w:type="dxa"/>
            </w:tcMar>
          </w:tcPr>
          <w:p>
            <w:pPr>
              <w:spacing w:after="60" w:before="60"/>
            </w:pPr>
            <w:r>
              <w:rPr>
                <w:sz w:val="20"/>
              </w:rPr>
              <w:t>75</w:t>
            </w:r>
          </w:p>
        </w:tc>
        <w:tc>
          <w:tcPr>
            <w:tcW w:type="dxa" w:w="3240"/>
            <w:vAlign w:val="center"/>
            <w:shd w:fill="F2F5F7"/>
            <w:tcMar>
              <w:top w:w="90" w:type="dxa"/>
              <w:bottom w:w="90" w:type="dxa"/>
              <w:left w:w="90" w:type="dxa"/>
              <w:right w:w="90" w:type="dxa"/>
            </w:tcMar>
          </w:tcPr>
          <w:p>
            <w:pPr>
              <w:spacing w:after="60" w:before="60"/>
            </w:pPr>
            <w:r>
              <w:rPr>
                <w:sz w:val="20"/>
              </w:rPr>
              <w:t>Operations plus available finance/export workflows and reporting</w:t>
            </w:r>
          </w:p>
        </w:tc>
      </w:tr>
      <w:tr>
        <w:trPr>
          <w:cantSplit/>
        </w:trPr>
        <w:tc>
          <w:tcPr>
            <w:tcW w:type="dxa" w:w="1944"/>
            <w:vAlign w:val="center"/>
            <w:shd w:fill="FFFFFF"/>
            <w:tcMar>
              <w:top w:w="90" w:type="dxa"/>
              <w:bottom w:w="90" w:type="dxa"/>
              <w:left w:w="90" w:type="dxa"/>
              <w:right w:w="90" w:type="dxa"/>
            </w:tcMar>
          </w:tcPr>
          <w:p>
            <w:pPr>
              <w:spacing w:after="60" w:before="60"/>
            </w:pPr>
            <w:r>
              <w:rPr>
                <w:sz w:val="20"/>
              </w:rPr>
              <w:t>Larger organizations</w:t>
            </w:r>
          </w:p>
        </w:tc>
        <w:tc>
          <w:tcPr>
            <w:tcW w:type="dxa" w:w="2304"/>
            <w:vAlign w:val="center"/>
            <w:shd w:fill="FFFFFF"/>
            <w:tcMar>
              <w:top w:w="90" w:type="dxa"/>
              <w:bottom w:w="90" w:type="dxa"/>
              <w:left w:w="90" w:type="dxa"/>
              <w:right w:w="90" w:type="dxa"/>
            </w:tcMar>
          </w:tcPr>
          <w:p>
            <w:pPr>
              <w:spacing w:after="60" w:before="60"/>
            </w:pPr>
            <w:r>
              <w:rPr>
                <w:sz w:val="20"/>
              </w:rPr>
              <w:t>Quoted</w:t>
            </w:r>
          </w:p>
        </w:tc>
        <w:tc>
          <w:tcPr>
            <w:tcW w:type="dxa" w:w="2736"/>
            <w:vAlign w:val="center"/>
            <w:shd w:fill="FFFFFF"/>
            <w:tcMar>
              <w:top w:w="90" w:type="dxa"/>
              <w:bottom w:w="90" w:type="dxa"/>
              <w:left w:w="90" w:type="dxa"/>
              <w:right w:w="90" w:type="dxa"/>
            </w:tcMar>
          </w:tcPr>
          <w:p>
            <w:pPr>
              <w:spacing w:after="60" w:before="60"/>
            </w:pPr>
            <w:r>
              <w:rPr>
                <w:sz w:val="20"/>
              </w:rPr>
              <w:t>Agreed</w:t>
            </w:r>
          </w:p>
        </w:tc>
        <w:tc>
          <w:tcPr>
            <w:tcW w:type="dxa" w:w="3240"/>
            <w:vAlign w:val="center"/>
            <w:shd w:fill="FFFFFF"/>
            <w:tcMar>
              <w:top w:w="90" w:type="dxa"/>
              <w:bottom w:w="90" w:type="dxa"/>
              <w:left w:w="90" w:type="dxa"/>
              <w:right w:w="90" w:type="dxa"/>
            </w:tcMar>
          </w:tcPr>
          <w:p>
            <w:pPr>
              <w:spacing w:after="60" w:before="60"/>
            </w:pPr>
            <w:r>
              <w:rPr>
                <w:sz w:val="20"/>
              </w:rPr>
              <w:t>Scope, support, residency and capacity reviewed first</w:t>
            </w:r>
          </w:p>
        </w:tc>
      </w:tr>
    </w:tbl>
    <w:p>
      <w:pPr>
        <w:spacing w:after="20"/>
      </w:pPr>
    </w:p>
    <w:p>
      <w:r>
        <w:t>Proposed extra worker: $3/month, subject to measured cost. Custom integrations, SMS, screening, signing, unusually large storage, imports and dedicated support need explicit priced allowances or add-ons. Never advertise unlimited usage or unimplemented capabilities. All tiers retain baseline security and tenant privacy. Client records and critical care events must not be silently discarded at a limit.</w:t>
      </w:r>
    </w:p>
    <w:p>
      <w:r>
        <w:t>These are proposed packaging decisions, not entitlements already configured in the application. Map them to a versioned catalog with backend enforcement before publishing. Start without annual discounts until retention and real cost data are available; any discount must be checked against the same margin floor.</w:t>
      </w:r>
    </w:p>
    <w:p>
      <w:r>
        <w:t>US reference fee assumption: 2.9% + $0.30 per successful domestic-card charge, plus 0.7% Stripe Billing = 3.6% + $0.30. International cards, FX, disputes, refunds, tax services and other methods can cost more. Calculate using net subscription revenue excluding collected sales taxes; conservatively allow fees on the actual tax-inclusive amount where applicable.</w:t>
      </w:r>
    </w:p>
    <w:p>
      <w:r>
        <w:t>For N customers on the same plan, fixed cost F, additional variable delivery cost v per customer, percentage fee r, fixed transaction fee t and target margin m:</w:t>
      </w:r>
    </w:p>
    <w:p>
      <w:r>
        <w:t>operating profit = N * P * (1-r) - N * (v+t) - F</w:t>
      </w:r>
    </w:p>
    <w:p>
      <w:r>
        <w:t>margin = operating profit / (N * P)</w:t>
      </w:r>
    </w:p>
    <w:p>
      <w:r>
        <w:t>minimum monthly price P = (F/N + v + t) / (1-r-m)</w:t>
      </w:r>
    </w:p>
    <w:p>
      <w:r>
        <w:t>A 10% markup on cost is only a 9.09% margin before fees. Use the formula, not a 10% markup. For mixed plans use total revenue and actual transaction/usage costs.</w:t>
      </w:r>
    </w:p>
    <w:p>
      <w:r>
        <w:t>Illustration: F=$580.85, r=0.036, t=$0.30, m=0.10 and a deliberately provisional v=$5 per agency (usage/support above shared labor):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shd w:fill="263746"/>
            <w:tcMar>
              <w:top w:w="90" w:type="dxa"/>
              <w:bottom w:w="90" w:type="dxa"/>
              <w:left w:w="90" w:type="dxa"/>
              <w:right w:w="90" w:type="dxa"/>
            </w:tcMar>
          </w:tcPr>
          <w:p>
            <w:pPr>
              <w:spacing w:after="60" w:before="60"/>
            </w:pPr>
            <w:r>
              <w:rPr>
                <w:b/>
                <w:color w:val="FFFFFF"/>
                <w:sz w:val="20"/>
              </w:rPr>
              <w:t>Paying agencies</w:t>
            </w:r>
          </w:p>
        </w:tc>
        <w:tc>
          <w:tcPr>
            <w:tcW w:type="dxa" w:w="5112"/>
            <w:vAlign w:val="center"/>
            <w:shd w:fill="263746"/>
            <w:tcMar>
              <w:top w:w="90" w:type="dxa"/>
              <w:bottom w:w="90" w:type="dxa"/>
              <w:left w:w="90" w:type="dxa"/>
              <w:right w:w="90" w:type="dxa"/>
            </w:tcMar>
          </w:tcPr>
          <w:p>
            <w:pPr>
              <w:spacing w:after="60" w:before="60"/>
            </w:pPr>
            <w:r>
              <w:rPr>
                <w:b/>
                <w:color w:val="FFFFFF"/>
                <w:sz w:val="20"/>
              </w:rPr>
              <w:t>Minimum average monthly revenue per agency</w:t>
            </w:r>
          </w:p>
        </w:tc>
      </w:tr>
      <w:tr>
        <w:trPr>
          <w:cantSplit/>
        </w:trPr>
        <w:tc>
          <w:tcPr>
            <w:tcW w:type="dxa" w:w="5112"/>
            <w:vAlign w:val="center"/>
            <w:shd w:fill="F2F5F7"/>
            <w:tcMar>
              <w:top w:w="90" w:type="dxa"/>
              <w:bottom w:w="90" w:type="dxa"/>
              <w:left w:w="90" w:type="dxa"/>
              <w:right w:w="90" w:type="dxa"/>
            </w:tcMar>
          </w:tcPr>
          <w:p>
            <w:pPr>
              <w:spacing w:after="60" w:before="60"/>
            </w:pPr>
            <w:r>
              <w:rPr>
                <w:sz w:val="20"/>
              </w:rPr>
              <w:t>5</w:t>
            </w:r>
          </w:p>
        </w:tc>
        <w:tc>
          <w:tcPr>
            <w:tcW w:type="dxa" w:w="5112"/>
            <w:vAlign w:val="center"/>
            <w:shd w:fill="F2F5F7"/>
            <w:tcMar>
              <w:top w:w="90" w:type="dxa"/>
              <w:bottom w:w="90" w:type="dxa"/>
              <w:left w:w="90" w:type="dxa"/>
              <w:right w:w="90" w:type="dxa"/>
            </w:tcMar>
          </w:tcPr>
          <w:p>
            <w:pPr>
              <w:spacing w:after="60" w:before="60"/>
            </w:pPr>
            <w:r>
              <w:rPr>
                <w:sz w:val="20"/>
              </w:rPr>
              <w:t>$140.60</w:t>
            </w:r>
          </w:p>
        </w:tc>
      </w:tr>
      <w:tr>
        <w:trPr>
          <w:cantSplit/>
        </w:trPr>
        <w:tc>
          <w:tcPr>
            <w:tcW w:type="dxa" w:w="5112"/>
            <w:vAlign w:val="center"/>
            <w:shd w:fill="FFFFFF"/>
            <w:tcMar>
              <w:top w:w="90" w:type="dxa"/>
              <w:bottom w:w="90" w:type="dxa"/>
              <w:left w:w="90" w:type="dxa"/>
              <w:right w:w="90" w:type="dxa"/>
            </w:tcMar>
          </w:tcPr>
          <w:p>
            <w:pPr>
              <w:spacing w:after="60" w:before="60"/>
            </w:pPr>
            <w:r>
              <w:rPr>
                <w:sz w:val="20"/>
              </w:rPr>
              <w:t>10</w:t>
            </w:r>
          </w:p>
        </w:tc>
        <w:tc>
          <w:tcPr>
            <w:tcW w:type="dxa" w:w="5112"/>
            <w:vAlign w:val="center"/>
            <w:shd w:fill="FFFFFF"/>
            <w:tcMar>
              <w:top w:w="90" w:type="dxa"/>
              <w:bottom w:w="90" w:type="dxa"/>
              <w:left w:w="90" w:type="dxa"/>
              <w:right w:w="90" w:type="dxa"/>
            </w:tcMar>
          </w:tcPr>
          <w:p>
            <w:pPr>
              <w:spacing w:after="60" w:before="60"/>
            </w:pPr>
            <w:r>
              <w:rPr>
                <w:sz w:val="20"/>
              </w:rPr>
              <w:t>$73.37</w:t>
            </w:r>
          </w:p>
        </w:tc>
      </w:tr>
      <w:tr>
        <w:trPr>
          <w:cantSplit/>
        </w:trPr>
        <w:tc>
          <w:tcPr>
            <w:tcW w:type="dxa" w:w="5112"/>
            <w:vAlign w:val="center"/>
            <w:shd w:fill="F2F5F7"/>
            <w:tcMar>
              <w:top w:w="90" w:type="dxa"/>
              <w:bottom w:w="90" w:type="dxa"/>
              <w:left w:w="90" w:type="dxa"/>
              <w:right w:w="90" w:type="dxa"/>
            </w:tcMar>
          </w:tcPr>
          <w:p>
            <w:pPr>
              <w:spacing w:after="60" w:before="60"/>
            </w:pPr>
            <w:r>
              <w:rPr>
                <w:sz w:val="20"/>
              </w:rPr>
              <w:t>20</w:t>
            </w:r>
          </w:p>
        </w:tc>
        <w:tc>
          <w:tcPr>
            <w:tcW w:type="dxa" w:w="5112"/>
            <w:vAlign w:val="center"/>
            <w:shd w:fill="F2F5F7"/>
            <w:tcMar>
              <w:top w:w="90" w:type="dxa"/>
              <w:bottom w:w="90" w:type="dxa"/>
              <w:left w:w="90" w:type="dxa"/>
              <w:right w:w="90" w:type="dxa"/>
            </w:tcMar>
          </w:tcPr>
          <w:p>
            <w:pPr>
              <w:spacing w:after="60" w:before="60"/>
            </w:pPr>
            <w:r>
              <w:rPr>
                <w:sz w:val="20"/>
              </w:rPr>
              <w:t>$39.75</w:t>
            </w:r>
          </w:p>
        </w:tc>
      </w:tr>
      <w:tr>
        <w:trPr>
          <w:cantSplit/>
        </w:trPr>
        <w:tc>
          <w:tcPr>
            <w:tcW w:type="dxa" w:w="5112"/>
            <w:vAlign w:val="center"/>
            <w:shd w:fill="FFFFFF"/>
            <w:tcMar>
              <w:top w:w="90" w:type="dxa"/>
              <w:bottom w:w="90" w:type="dxa"/>
              <w:left w:w="90" w:type="dxa"/>
              <w:right w:w="90" w:type="dxa"/>
            </w:tcMar>
          </w:tcPr>
          <w:p>
            <w:pPr>
              <w:spacing w:after="60" w:before="60"/>
            </w:pPr>
            <w:r>
              <w:rPr>
                <w:sz w:val="20"/>
              </w:rPr>
              <w:t>50</w:t>
            </w:r>
          </w:p>
        </w:tc>
        <w:tc>
          <w:tcPr>
            <w:tcW w:type="dxa" w:w="5112"/>
            <w:vAlign w:val="center"/>
            <w:shd w:fill="FFFFFF"/>
            <w:tcMar>
              <w:top w:w="90" w:type="dxa"/>
              <w:bottom w:w="90" w:type="dxa"/>
              <w:left w:w="90" w:type="dxa"/>
              <w:right w:w="90" w:type="dxa"/>
            </w:tcMar>
          </w:tcPr>
          <w:p>
            <w:pPr>
              <w:spacing w:after="60" w:before="60"/>
            </w:pPr>
            <w:r>
              <w:rPr>
                <w:sz w:val="20"/>
              </w:rPr>
              <w:t>$19.58</w:t>
            </w:r>
          </w:p>
        </w:tc>
      </w:tr>
    </w:tbl>
    <w:p>
      <w:pPr>
        <w:spacing w:after="20"/>
      </w:pPr>
    </w:p>
    <w:p>
      <w:r>
        <w:t>Rounded upward to cents. Fixed cost is held constant only for illustration; do not assume the same small server/support budget can support every volume and workload.</w:t>
      </w:r>
    </w:p>
    <w:p>
      <w:r>
        <w:t>At these assumptions, at least 13 Starter-only agencies, 6 Operations-only agencies or 3 Growth-only agencies are needed to exceed the 10% margin floor. Ten Operations agencies produce $1,290 revenue, approximately $46.44 percentage fees, $3 fixed fees, $50 variable delivery and $580.85 fixed costs: $609.71 operating profit, or 47.26%. This is a sensitivity example, not a sales or capacity forecast. Five Starter-only customers would lose approximately $322.97/month. No low fixed subscription price guarantees a margin when too few customers share the costs.</w:t>
      </w:r>
    </w:p>
    <w:p>
      <w:r>
        <w:t>Maintain a monthly profit report by plan and country. Allocate all shared costs, owner labor and acquisition expenses; measure support time, storage, transactions, refunds and FX. Reprice new sales or reduce costs when the forecast falls below the target. Aim above the 10% floor to absorb uncertainty. Model in-app store fees separately if required; do not add Stripe fees to store revenue blindly.</w:t>
      </w:r>
    </w:p>
    <w:p>
      <w:pPr>
        <w:pStyle w:val="Heading1"/>
      </w:pPr>
      <w:r>
        <w:t>Production acceptance and recovery</w:t>
      </w:r>
    </w:p>
    <w:p>
      <w:r>
        <w:t>Keep development/staging synthetic and remove shared demo passwords/accounts from production. Complete production email/recovery, privileged MFA, private file handling, retention, payment webhooks and independent authorization review before claiming commercial readiness. Execute the existing implementation gap list.</w:t>
      </w:r>
    </w:p>
    <w:p>
      <w:r>
        <w:t>Encrypt backups independently of the server; define retention and key recovery. Pilot objectives: database recovery point within 24 hours, recovery within one business day, verified by a restore exercise. These are proposed objectives, not measured promises. Increase backup frequency and recovery capability before supporting time-critical workloads. VM images alone are not sufficient evidence of consistent database recovery.</w:t>
      </w:r>
    </w:p>
    <w:p>
      <w:r>
        <w:t>Confirm launch jurisdiction, customer obligations and types of care information before choosing production providers. If HIPAA or another regulated arrangement applies, verify required contracts, eligible services and controls; the low-cost VPS illustration is not a compliance claim and may need replacement.</w:t>
      </w:r>
    </w:p>
    <w:p>
      <w:pPr>
        <w:pStyle w:val="Heading1"/>
      </w:pPr>
      <w:r>
        <w:t>Delivery sequence and review gates</w:t>
      </w:r>
    </w:p>
    <w:p>
      <w:r>
        <w:t>1. Foundation: approve domain, budget, initial US market, source ownership and hosting; create proposed repositories, release conventions and environment configuration. Deliver repeatable local/CI builds.</w:t>
      </w:r>
    </w:p>
    <w:p>
      <w:r>
        <w:t>2. Staging: provision staging, isolated MySQL, TLS, workers, restricted email and test payments. Demonstrate deployment and a backup/restore exercise.</w:t>
      </w:r>
    </w:p>
    <w:p>
      <w:r>
        <w:t>3. API: complete contracts and native authentication; prove cross-agency/consent protection and mobile authentication on real Android/iOS devices.</w:t>
      </w:r>
    </w:p>
    <w:p>
      <w:r>
        <w:t>4. Public website: create information pages and reviewed plan/region catalog; initially offer demo requests. Publish checkout only after entitlements, signed webhooks, refunds/cancellations and invoices pass sandbox testing.</w:t>
      </w:r>
    </w:p>
    <w:p>
      <w:r>
        <w:t>5. Mobile beta: implement the agreed limited scope, test staging variants and distribute beta builds. Validate store requirements and payment eligibility.</w:t>
      </w:r>
    </w:p>
    <w:p>
      <w:r>
        <w:t>6. Production pilot: close critical readiness gaps, select a few agencies, create live accounts and deploy an approved release. Monitor workload and unit costs.</w:t>
      </w:r>
    </w:p>
    <w:p>
      <w:r>
        <w:t>7. General launch: publish approved mobile releases, activate supported country prices and scale only when measured capacity and margin justify expansion.</w:t>
      </w:r>
    </w:p>
    <w:p>
      <w:r>
        <w:t>Estimate effort and dates after the foundation and mobile/API prototype. Hosting charges are not a quote for implementation work. Next review inputs: domain, expected agencies/workers at launch and month 12, actual labor/development budget, support commitment and whether real sensitive care data is in the first pilot.</w:t>
      </w:r>
    </w:p>
    <w:p>
      <w:pPr>
        <w:pStyle w:val="Heading1"/>
      </w:pPr>
      <w:r>
        <w:t>Price and policy references</w:t>
      </w:r>
    </w:p>
    <w:p>
      <w:r>
        <w:t>Checked 24 October 2026; recheck before ordering or public price publication.</w:t>
      </w:r>
    </w:p>
    <w:p>
      <w:r>
        <w:t xml:space="preserve">DigitalOcean server plans: </w:t>
      </w:r>
      <w:hyperlink r:id="rId11">
        <w:r>
          <w:t>https://www.digitalocean.com/pricing/droplets</w:t>
        </w:r>
      </w:hyperlink>
    </w:p>
    <w:p>
      <w:r>
        <w:t xml:space="preserve">DigitalOcean backup pricing: </w:t>
      </w:r>
      <w:hyperlink r:id="rId12">
        <w:r>
          <w:t>https://docs.digitalocean.com/products/backups/details/pricing/</w:t>
        </w:r>
      </w:hyperlink>
    </w:p>
    <w:p>
      <w:r>
        <w:t xml:space="preserve">Cloudflare Pages pricing: </w:t>
      </w:r>
      <w:hyperlink r:id="rId13">
        <w:r>
          <w:t>https://developers.cloudflare.com/pages/functions/pricing/</w:t>
        </w:r>
      </w:hyperlink>
    </w:p>
    <w:p>
      <w:r>
        <w:t xml:space="preserve">GitHub Actions allowances and billing: </w:t>
      </w:r>
      <w:hyperlink r:id="rId14">
        <w:r>
          <w:t>https://docs.github.com/en/billing/concepts/product-billing/github-actions</w:t>
        </w:r>
      </w:hyperlink>
    </w:p>
    <w:p>
      <w:r>
        <w:t xml:space="preserve">Apple enrollment and annual fee: </w:t>
      </w:r>
      <w:hyperlink r:id="rId15">
        <w:r>
          <w:t>https://developer.apple.com/help/account/membership/program-enrollment/</w:t>
        </w:r>
      </w:hyperlink>
    </w:p>
    <w:p>
      <w:r>
        <w:t xml:space="preserve">Google Play enrollment and registration fee: </w:t>
      </w:r>
      <w:hyperlink r:id="rId16">
        <w:r>
          <w:t>https://support.google.com/googleplay/android-developer/answer/6112435</w:t>
        </w:r>
      </w:hyperlink>
    </w:p>
    <w:p>
      <w:r>
        <w:t xml:space="preserve">Stripe payment pricing: </w:t>
      </w:r>
      <w:hyperlink r:id="rId17">
        <w:r>
          <w:t>https://stripe.com/pricing</w:t>
        </w:r>
      </w:hyperlink>
    </w:p>
    <w:p>
      <w:r>
        <w:t xml:space="preserve">Stripe Billing pricing: </w:t>
      </w:r>
      <w:hyperlink r:id="rId18">
        <w:r>
          <w:t>https://stripe.com/billing/pricing</w:t>
        </w:r>
      </w:hyperlink>
    </w:p>
    <w:p>
      <w:r>
        <w:t xml:space="preserve">Apple app review and enterprise services: </w:t>
      </w:r>
      <w:hyperlink r:id="rId19">
        <w:r>
          <w:t>https://developer.apple.com/app-store/review/guidelines/</w:t>
        </w:r>
      </w:hyperlink>
    </w:p>
    <w:p>
      <w:r>
        <w:t xml:space="preserve">Google Play payments policy: </w:t>
      </w:r>
      <w:hyperlink r:id="rId20">
        <w:r>
          <w:t>https://support.google.com/googleplay/android-developer/answer/9858738</w:t>
        </w:r>
      </w:hyperlink>
    </w:p>
    <w:p>
      <w:r>
        <w:t xml:space="preserve">Oracle Always Free resource conditions: </w:t>
      </w:r>
      <w:hyperlink r:id="rId21">
        <w:r>
          <w:t>https://docs.oracle.com/en-us/iaas/Content/FreeTier/freetier_topic-Always_Free_Resources.htm</w:t>
        </w:r>
      </w:hyperlink>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Draft for review  |  24 October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CareSys    Platform and commercial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igitalocean.com/pricing/droplets" TargetMode="External"/><Relationship Id="rId12" Type="http://schemas.openxmlformats.org/officeDocument/2006/relationships/hyperlink" Target="https://docs.digitalocean.com/products/backups/details/pricing/" TargetMode="External"/><Relationship Id="rId13" Type="http://schemas.openxmlformats.org/officeDocument/2006/relationships/hyperlink" Target="https://developers.cloudflare.com/pages/functions/pricing/" TargetMode="External"/><Relationship Id="rId14" Type="http://schemas.openxmlformats.org/officeDocument/2006/relationships/hyperlink" Target="https://docs.github.com/en/billing/concepts/product-billing/github-actions" TargetMode="External"/><Relationship Id="rId15" Type="http://schemas.openxmlformats.org/officeDocument/2006/relationships/hyperlink" Target="https://developer.apple.com/help/account/membership/program-enrollment/" TargetMode="External"/><Relationship Id="rId16" Type="http://schemas.openxmlformats.org/officeDocument/2006/relationships/hyperlink" Target="https://support.google.com/googleplay/android-developer/answer/6112435" TargetMode="External"/><Relationship Id="rId17" Type="http://schemas.openxmlformats.org/officeDocument/2006/relationships/hyperlink" Target="https://stripe.com/pricing" TargetMode="External"/><Relationship Id="rId18" Type="http://schemas.openxmlformats.org/officeDocument/2006/relationships/hyperlink" Target="https://stripe.com/billing/pricing" TargetMode="External"/><Relationship Id="rId19" Type="http://schemas.openxmlformats.org/officeDocument/2006/relationships/hyperlink" Target="https://developer.apple.com/app-store/review/guidelines/" TargetMode="External"/><Relationship Id="rId20" Type="http://schemas.openxmlformats.org/officeDocument/2006/relationships/hyperlink" Target="https://support.google.com/googleplay/android-developer/answer/9858738" TargetMode="External"/><Relationship Id="rId21" Type="http://schemas.openxmlformats.org/officeDocument/2006/relationships/hyperlink" Target="https://docs.oracle.com/en-us/iaas/Content/FreeTier/freetier_topic-Always_Free_Resourc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