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CareSys Register and Agency Test Status 27 October 2026</w:t>
      </w:r>
    </w:p>
    <w:p>
      <w:r>
        <w:rPr>
          <w:b/>
        </w:rPr>
        <w:t>Status PASS</w:t>
      </w:r>
    </w:p>
    <w:p>
      <w:r>
        <w:t>Prepared for the CareSys project owner. This report records the local registration and platform approval tests for the new in-app notification workflow. The tested scenarios passed, and the disposable account, agency and test alerts were removed after verification.</w:t>
      </w:r>
    </w:p>
    <w:tbl>
      <w:tblPr>
        <w:tblW w:type="auto" w:w="0"/>
        <w:jc w:val="center"/>
        <w:tblLayout w:type="fixed"/>
        <w:tblLook w:firstColumn="1" w:firstRow="1" w:lastColumn="0" w:lastRow="0" w:noHBand="0" w:noVBand="1" w:val="04A0"/>
      </w:tblPr>
      <w:tblGrid>
        <w:gridCol w:w="5472"/>
        <w:gridCol w:w="4608"/>
      </w:tblGrid>
      <w:tr>
        <w:trPr>
          <w:tblHeader/>
          <w:cantSplit/>
        </w:trPr>
        <w:tc>
          <w:tcPr>
            <w:tcW w:type="dxa" w:w="5472"/>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29343A"/>
          </w:tcPr>
          <w:p>
            <w:pPr>
              <w:spacing w:after="0" w:line="247" w:lineRule="auto"/>
            </w:pPr>
            <w:r>
              <w:rPr>
                <w:b/>
                <w:color w:val="FFFFFF"/>
                <w:sz w:val="21"/>
              </w:rPr>
              <w:t>Validation</w:t>
            </w:r>
          </w:p>
        </w:tc>
        <w:tc>
          <w:tcPr>
            <w:tcW w:type="dxa" w:w="4608"/>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29343A"/>
          </w:tcPr>
          <w:p>
            <w:pPr>
              <w:spacing w:after="0" w:line="247" w:lineRule="auto"/>
              <w:jc w:val="center"/>
            </w:pPr>
            <w:r>
              <w:rPr>
                <w:b/>
                <w:color w:val="FFFFFF"/>
                <w:sz w:val="21"/>
              </w:rPr>
              <w:t>Recorded result</w:t>
            </w:r>
          </w:p>
        </w:tc>
      </w:tr>
      <w:tr>
        <w:trPr>
          <w:cantSplit/>
        </w:trPr>
        <w:tc>
          <w:tcPr>
            <w:tcW w:type="dxa" w:w="5472"/>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21"/>
              </w:rPr>
              <w:t>Backend suite</w:t>
            </w:r>
          </w:p>
        </w:tc>
        <w:tc>
          <w:tcPr>
            <w:tcW w:type="dxa" w:w="4608"/>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1"/>
              </w:rPr>
              <w:t>254 tests and 1411 assertions passed</w:t>
            </w:r>
          </w:p>
        </w:tc>
      </w:tr>
      <w:tr>
        <w:trPr>
          <w:cantSplit/>
        </w:trPr>
        <w:tc>
          <w:tcPr>
            <w:tcW w:type="dxa" w:w="5472"/>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21"/>
              </w:rPr>
              <w:t>Registration and notification cases</w:t>
            </w:r>
          </w:p>
        </w:tc>
        <w:tc>
          <w:tcPr>
            <w:tcW w:type="dxa" w:w="4608"/>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1"/>
              </w:rPr>
              <w:t>176 passed</w:t>
            </w:r>
          </w:p>
        </w:tc>
      </w:tr>
      <w:tr>
        <w:trPr>
          <w:cantSplit/>
        </w:trPr>
        <w:tc>
          <w:tcPr>
            <w:tcW w:type="dxa" w:w="5472"/>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21"/>
              </w:rPr>
              <w:t>Optional field combinations</w:t>
            </w:r>
          </w:p>
        </w:tc>
        <w:tc>
          <w:tcPr>
            <w:tcW w:type="dxa" w:w="4608"/>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1"/>
              </w:rPr>
              <w:t>All 128 combinations passed</w:t>
            </w:r>
          </w:p>
        </w:tc>
      </w:tr>
      <w:tr>
        <w:trPr>
          <w:cantSplit/>
        </w:trPr>
        <w:tc>
          <w:tcPr>
            <w:tcW w:type="dxa" w:w="5472"/>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21"/>
              </w:rPr>
              <w:t>Browser checks</w:t>
            </w:r>
          </w:p>
        </w:tc>
        <w:tc>
          <w:tcPr>
            <w:tcW w:type="dxa" w:w="4608"/>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1"/>
              </w:rPr>
              <w:t>28 passed</w:t>
            </w:r>
          </w:p>
        </w:tc>
      </w:tr>
      <w:tr>
        <w:trPr>
          <w:cantSplit/>
        </w:trPr>
        <w:tc>
          <w:tcPr>
            <w:tcW w:type="dxa" w:w="5472"/>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21"/>
              </w:rPr>
              <w:t>Screenshot evidence</w:t>
            </w:r>
          </w:p>
        </w:tc>
        <w:tc>
          <w:tcPr>
            <w:tcW w:type="dxa" w:w="4608"/>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1"/>
              </w:rPr>
              <w:t>9 captures embedded in this document</w:t>
            </w:r>
          </w:p>
        </w:tc>
      </w:tr>
      <w:tr>
        <w:trPr>
          <w:cantSplit/>
        </w:trPr>
        <w:tc>
          <w:tcPr>
            <w:tcW w:type="dxa" w:w="5472"/>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21"/>
              </w:rPr>
              <w:t>Existing accounts and Stripe</w:t>
            </w:r>
          </w:p>
        </w:tc>
        <w:tc>
          <w:tcPr>
            <w:tcW w:type="dxa" w:w="4608"/>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1"/>
              </w:rPr>
              <w:t>Preserved and unchanged</w:t>
            </w:r>
          </w:p>
        </w:tc>
      </w:tr>
    </w:tbl>
    <w:p>
      <w:pPr>
        <w:spacing w:after="0"/>
      </w:pPr>
    </w:p>
    <w:p>
      <w:pPr>
        <w:pStyle w:val="Heading1"/>
      </w:pPr>
      <w:r>
        <w:t>Registration and approval workflow</w:t>
      </w:r>
    </w:p>
    <w:p>
      <w:r>
        <w:t>1. The agent signs in and registers an agency with the required legal name, country, official email, currency and timezone. Phone numbers, business registration number and address are optional.</w:t>
      </w:r>
    </w:p>
    <w:p>
      <w:r>
        <w:t>2. The agency stays pending. Every active platform administrator receives a review request, and the owner receives a pending-review receipt.</w:t>
      </w:r>
    </w:p>
    <w:p>
      <w:r>
        <w:t>3. The administrator opens the notification, checks the saved agency details and records a verification decision and review basis.</w:t>
      </w:r>
    </w:p>
    <w:p>
      <w:r>
        <w:t>4. The owner receives the matching verified and approved, rejected or suspended message. Reapproval creates a new decision entry.</w:t>
      </w:r>
    </w:p>
    <w:p>
      <w:r>
        <w:t>5. Unread counts appear in the top-right menu. Notifications can be marked read and remain accessible through the personal inbox when agency operations are locked.</w:t>
      </w:r>
    </w:p>
    <w:p>
      <w:r>
        <w:rPr>
          <w:sz w:val="19"/>
        </w:rPr>
        <w:t>Approval verifies the registration. It does not save a card, start a trial, select modules or collect payment. Stripe remained disabled throughout these tests.</w:t>
      </w:r>
    </w:p>
    <w:p>
      <w:r>
        <w:rPr>
          <w:sz w:val="19"/>
        </w:rPr>
        <w:t>Evidence captured for application revision a145914. Report date uses America/Los_Angeles; notification times and browser execution records use UTC.</w:t>
      </w:r>
    </w:p>
    <w:p>
      <w:r>
        <w:br w:type="page"/>
      </w:r>
    </w:p>
    <w:p>
      <w:pPr>
        <w:pStyle w:val="Heading1"/>
      </w:pPr>
      <w:r>
        <w:t>Backend registration and notification coverage</w:t>
      </w:r>
    </w:p>
    <w:p>
      <w:r>
        <w:t>The dedicated registration suite combines 33 registration variants, 128 optional-field combinations and 15 workflow, permission and consistency cases. The broader regression suite covers the existing application services.</w:t>
      </w:r>
    </w:p>
    <w:tbl>
      <w:tblPr>
        <w:tblW w:type="auto" w:w="0"/>
        <w:jc w:val="center"/>
        <w:tblLayout w:type="fixed"/>
        <w:tblLook w:firstColumn="1" w:firstRow="1" w:lastColumn="0" w:lastRow="0" w:noHBand="0" w:noVBand="1" w:val="04A0"/>
      </w:tblPr>
      <w:tblGrid>
        <w:gridCol w:w="1944"/>
        <w:gridCol w:w="7200"/>
        <w:gridCol w:w="936"/>
      </w:tblGrid>
      <w:tr>
        <w:trPr>
          <w:tblHeader/>
          <w:cantSplit/>
        </w:trPr>
        <w:tc>
          <w:tcPr>
            <w:tcW w:type="dxa" w:w="194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29343A"/>
          </w:tcPr>
          <w:p>
            <w:pPr>
              <w:spacing w:after="0" w:line="247" w:lineRule="auto"/>
            </w:pPr>
            <w:r>
              <w:rPr>
                <w:b/>
                <w:color w:val="FFFFFF"/>
                <w:sz w:val="20"/>
              </w:rPr>
              <w:t>Area</w:t>
            </w:r>
          </w:p>
        </w:tc>
        <w:tc>
          <w:tcPr>
            <w:tcW w:type="dxa" w:w="720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29343A"/>
          </w:tcPr>
          <w:p>
            <w:pPr>
              <w:spacing w:after="0" w:line="247" w:lineRule="auto"/>
            </w:pPr>
            <w:r>
              <w:rPr>
                <w:b/>
                <w:color w:val="FFFFFF"/>
                <w:sz w:val="20"/>
              </w:rPr>
              <w:t>Cases covered</w:t>
            </w:r>
          </w:p>
        </w:tc>
        <w:tc>
          <w:tcPr>
            <w:tcW w:type="dxa" w:w="93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29343A"/>
          </w:tcPr>
          <w:p>
            <w:pPr>
              <w:spacing w:after="0" w:line="247" w:lineRule="auto"/>
              <w:jc w:val="center"/>
            </w:pPr>
            <w:r>
              <w:rPr>
                <w:b/>
                <w:color w:val="FFFFFF"/>
                <w:sz w:val="20"/>
              </w:rPr>
              <w:t>Result</w:t>
            </w:r>
          </w:p>
        </w:tc>
      </w:tr>
      <w:tr>
        <w:trPr>
          <w:cantSplit/>
        </w:trPr>
        <w:tc>
          <w:tcPr>
            <w:tcW w:type="dxa" w:w="194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20"/>
              </w:rPr>
              <w:t>Required registration details</w:t>
            </w:r>
          </w:p>
        </w:tc>
        <w:tc>
          <w:tcPr>
            <w:tcW w:type="dxa" w:w="720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20"/>
              </w:rPr>
              <w:t>Empty/overlong legal name, missing/malformed official email, malformed/unknown country, currency format/length and invalid timezone</w:t>
            </w:r>
          </w:p>
        </w:tc>
        <w:tc>
          <w:tcPr>
            <w:tcW w:type="dxa" w:w="93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0"/>
              </w:rPr>
              <w:t>PASS</w:t>
            </w:r>
          </w:p>
        </w:tc>
      </w:tr>
      <w:tr>
        <w:trPr>
          <w:cantSplit/>
        </w:trPr>
        <w:tc>
          <w:tcPr>
            <w:tcW w:type="dxa" w:w="194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20"/>
              </w:rPr>
              <w:t>Optional phones</w:t>
            </w:r>
          </w:p>
        </w:tc>
        <w:tc>
          <w:tcPr>
            <w:tcW w:type="dxa" w:w="720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20"/>
              </w:rPr>
              <w:t>None, business only, shared mobile/contact, separate mobile/contact, all different numbers, disabled stale input ignored, missing selected values and landline rejected as mobile</w:t>
            </w:r>
          </w:p>
        </w:tc>
        <w:tc>
          <w:tcPr>
            <w:tcW w:type="dxa" w:w="93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0"/>
              </w:rPr>
              <w:t>PASS</w:t>
            </w:r>
          </w:p>
        </w:tc>
      </w:tr>
      <w:tr>
        <w:trPr>
          <w:cantSplit/>
        </w:trPr>
        <w:tc>
          <w:tcPr>
            <w:tcW w:type="dxa" w:w="194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20"/>
              </w:rPr>
              <w:t>Optional address</w:t>
            </w:r>
          </w:p>
        </w:tc>
        <w:tc>
          <w:tcPr>
            <w:tcW w:type="dxa" w:w="720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20"/>
              </w:rPr>
              <w:t>US state/ZIP, Canadian province/postal code, UK optional county, UAE without postal code; missing street/city, invalid state and invalid postal format</w:t>
            </w:r>
          </w:p>
        </w:tc>
        <w:tc>
          <w:tcPr>
            <w:tcW w:type="dxa" w:w="93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0"/>
              </w:rPr>
              <w:t>PASS</w:t>
            </w:r>
          </w:p>
        </w:tc>
      </w:tr>
      <w:tr>
        <w:trPr>
          <w:cantSplit/>
        </w:trPr>
        <w:tc>
          <w:tcPr>
            <w:tcW w:type="dxa" w:w="194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20"/>
              </w:rPr>
              <w:t>Optional combinations</w:t>
            </w:r>
          </w:p>
        </w:tc>
        <w:tc>
          <w:tcPr>
            <w:tcW w:type="dxa" w:w="720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20"/>
              </w:rPr>
              <w:t>All 32 phone checkbox combinations crossed with address on/off and business registration supplied/omitted: 128 combinations</w:t>
            </w:r>
          </w:p>
        </w:tc>
        <w:tc>
          <w:tcPr>
            <w:tcW w:type="dxa" w:w="93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0"/>
              </w:rPr>
              <w:t>PASS</w:t>
            </w:r>
          </w:p>
        </w:tc>
      </w:tr>
      <w:tr>
        <w:trPr>
          <w:cantSplit/>
        </w:trPr>
        <w:tc>
          <w:tcPr>
            <w:tcW w:type="dxa" w:w="194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20"/>
              </w:rPr>
              <w:t>Registration persistence</w:t>
            </w:r>
          </w:p>
        </w:tc>
        <w:tc>
          <w:tcPr>
            <w:tcW w:type="dxa" w:w="720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20"/>
              </w:rPr>
              <w:t>Owner membership, pending verification, awaiting-card billing, normalized contact snapshots and no partial save after invalid input</w:t>
            </w:r>
          </w:p>
        </w:tc>
        <w:tc>
          <w:tcPr>
            <w:tcW w:type="dxa" w:w="93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0"/>
              </w:rPr>
              <w:t>PASS</w:t>
            </w:r>
          </w:p>
        </w:tc>
      </w:tr>
      <w:tr>
        <w:trPr>
          <w:cantSplit/>
        </w:trPr>
        <w:tc>
          <w:tcPr>
            <w:tcW w:type="dxa" w:w="194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20"/>
              </w:rPr>
              <w:t>Duplicate submissions</w:t>
            </w:r>
          </w:p>
        </w:tc>
        <w:tc>
          <w:tcPr>
            <w:tcW w:type="dxa" w:w="720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20"/>
              </w:rPr>
              <w:t>Same account/key retries return one agency; changed details rejected; another account cannot reuse the first account's registration</w:t>
            </w:r>
          </w:p>
        </w:tc>
        <w:tc>
          <w:tcPr>
            <w:tcW w:type="dxa" w:w="93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0"/>
              </w:rPr>
              <w:t>PASS</w:t>
            </w:r>
          </w:p>
        </w:tc>
      </w:tr>
      <w:tr>
        <w:trPr>
          <w:cantSplit/>
        </w:trPr>
        <w:tc>
          <w:tcPr>
            <w:tcW w:type="dxa" w:w="194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20"/>
              </w:rPr>
              <w:t>Notification delivery</w:t>
            </w:r>
          </w:p>
        </w:tc>
        <w:tc>
          <w:tcPr>
            <w:tcW w:type="dxa" w:w="720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20"/>
              </w:rPr>
              <w:t>Administrator review request, owner pending receipt, approved/rejected/suspended/reapproved decisions, multiple administrators/owners, inactive administrator excluded</w:t>
            </w:r>
          </w:p>
        </w:tc>
        <w:tc>
          <w:tcPr>
            <w:tcW w:type="dxa" w:w="93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0"/>
              </w:rPr>
              <w:t>PASS</w:t>
            </w:r>
          </w:p>
        </w:tc>
      </w:tr>
      <w:tr>
        <w:trPr>
          <w:cantSplit/>
        </w:trPr>
        <w:tc>
          <w:tcPr>
            <w:tcW w:type="dxa" w:w="194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20"/>
              </w:rPr>
              <w:t>Permission boundaries</w:t>
            </w:r>
          </w:p>
        </w:tc>
        <w:tc>
          <w:tcPr>
            <w:tcW w:type="dxa" w:w="720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20"/>
              </w:rPr>
              <w:t>Guest access denied, non-operator approval denied, revoked platform role denied, disabled account registration denied, recipient-only reads and current-role filtering</w:t>
            </w:r>
          </w:p>
        </w:tc>
        <w:tc>
          <w:tcPr>
            <w:tcW w:type="dxa" w:w="93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0"/>
              </w:rPr>
              <w:t>PASS</w:t>
            </w:r>
          </w:p>
        </w:tc>
      </w:tr>
      <w:tr>
        <w:trPr>
          <w:cantSplit/>
        </w:trPr>
        <w:tc>
          <w:tcPr>
            <w:tcW w:type="dxa" w:w="194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20"/>
              </w:rPr>
              <w:t>Consistency and audit</w:t>
            </w:r>
          </w:p>
        </w:tc>
        <w:tc>
          <w:tcPr>
            <w:tcW w:type="dxa" w:w="720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20"/>
              </w:rPr>
              <w:t>Stale version denied, repeated current decision does not spam alerts, notification-storage failure rolls back registration/approval, UTC creation and read times</w:t>
            </w:r>
          </w:p>
        </w:tc>
        <w:tc>
          <w:tcPr>
            <w:tcW w:type="dxa" w:w="93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0"/>
              </w:rPr>
              <w:t>PASS</w:t>
            </w:r>
          </w:p>
        </w:tc>
      </w:tr>
      <w:tr>
        <w:trPr>
          <w:cantSplit/>
        </w:trPr>
        <w:tc>
          <w:tcPr>
            <w:tcW w:type="dxa" w:w="194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20"/>
              </w:rPr>
              <w:t>Output safety</w:t>
            </w:r>
          </w:p>
        </w:tc>
        <w:tc>
          <w:tcPr>
            <w:tcW w:type="dxa" w:w="720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20"/>
              </w:rPr>
              <w:t>Agency markup escaped in notification HTML; unknown or another recipient's reference returns unavailable</w:t>
            </w:r>
          </w:p>
        </w:tc>
        <w:tc>
          <w:tcPr>
            <w:tcW w:type="dxa" w:w="93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0"/>
              </w:rPr>
              <w:t>PASS</w:t>
            </w:r>
          </w:p>
        </w:tc>
      </w:tr>
      <w:tr>
        <w:trPr>
          <w:cantSplit/>
        </w:trPr>
        <w:tc>
          <w:tcPr>
            <w:tcW w:type="dxa" w:w="1944"/>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20"/>
              </w:rPr>
              <w:t>Regression</w:t>
            </w:r>
          </w:p>
        </w:tc>
        <w:tc>
          <w:tcPr>
            <w:tcW w:type="dxa" w:w="720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20"/>
              </w:rPr>
              <w:t>Existing recruitment, consent, employment, scheduling, multi-agency, billing, invoices, API authentication and database-isolation suites</w:t>
            </w:r>
          </w:p>
        </w:tc>
        <w:tc>
          <w:tcPr>
            <w:tcW w:type="dxa" w:w="93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0"/>
              </w:rPr>
              <w:t>PASS</w:t>
            </w:r>
          </w:p>
        </w:tc>
      </w:tr>
    </w:tbl>
    <w:p>
      <w:pPr>
        <w:spacing w:after="0"/>
      </w:pPr>
    </w:p>
    <w:p>
      <w:pPr>
        <w:pStyle w:val="Heading2"/>
      </w:pPr>
      <w:r>
        <w:t>Optional field combinations</w:t>
      </w:r>
    </w:p>
    <w:p>
      <w:r>
        <w:t>All 32 combinations of the five phone choices were crossed with address on or off and business registration supplied or omitted. These seven binary choices produce 128 tested combinations. Unselected values were ignored, shared numbers were reused and every successful registration stayed pending.</w:t>
      </w:r>
    </w:p>
    <w:p>
      <w:r>
        <w:rPr>
          <w:sz w:val="19"/>
        </w:rPr>
        <w:t>Country examples include US state and ZIP code, Canadian province and postal code, UK optional county and UAE without a postal code. Phone and address formatting use the installed country metadata libraries.</w:t>
      </w:r>
    </w:p>
    <w:p>
      <w:r>
        <w:br w:type="page"/>
      </w:r>
    </w:p>
    <w:p>
      <w:pPr>
        <w:pStyle w:val="Heading1"/>
      </w:pPr>
      <w:r>
        <w:t>Browser checks 1 to 14</w:t>
      </w:r>
    </w:p>
    <w:p>
      <w:r>
        <w:t>The browser test used a disposable fictional account and agency on the local HTTPS application. It exercised the owner and administrator in separate browser contexts.</w:t>
      </w:r>
    </w:p>
    <w:tbl>
      <w:tblPr>
        <w:tblW w:type="auto" w:w="0"/>
        <w:jc w:val="center"/>
        <w:tblLayout w:type="fixed"/>
        <w:tblLook w:firstColumn="1" w:firstRow="1" w:lastColumn="0" w:lastRow="0" w:noHBand="0" w:noVBand="1" w:val="04A0"/>
      </w:tblPr>
      <w:tblGrid>
        <w:gridCol w:w="576"/>
        <w:gridCol w:w="8568"/>
        <w:gridCol w:w="936"/>
      </w:tblGrid>
      <w:tr>
        <w:trPr>
          <w:tblHeader/>
          <w:cantSplit/>
        </w:trPr>
        <w:tc>
          <w:tcPr>
            <w:tcW w:type="dxa" w:w="57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29343A"/>
          </w:tcPr>
          <w:p>
            <w:pPr>
              <w:spacing w:after="0" w:line="247" w:lineRule="auto"/>
              <w:jc w:val="center"/>
            </w:pPr>
            <w:r>
              <w:rPr>
                <w:b/>
                <w:color w:val="FFFFFF"/>
                <w:sz w:val="21"/>
              </w:rPr>
              <w:t>No</w:t>
            </w:r>
          </w:p>
        </w:tc>
        <w:tc>
          <w:tcPr>
            <w:tcW w:type="dxa" w:w="8568"/>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29343A"/>
          </w:tcPr>
          <w:p>
            <w:pPr>
              <w:spacing w:after="0" w:line="247" w:lineRule="auto"/>
            </w:pPr>
            <w:r>
              <w:rPr>
                <w:b/>
                <w:color w:val="FFFFFF"/>
                <w:sz w:val="21"/>
              </w:rPr>
              <w:t>Check</w:t>
            </w:r>
          </w:p>
        </w:tc>
        <w:tc>
          <w:tcPr>
            <w:tcW w:type="dxa" w:w="93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29343A"/>
          </w:tcPr>
          <w:p>
            <w:pPr>
              <w:spacing w:after="0" w:line="247" w:lineRule="auto"/>
              <w:jc w:val="center"/>
            </w:pPr>
            <w:r>
              <w:rPr>
                <w:b/>
                <w:color w:val="FFFFFF"/>
                <w:sz w:val="21"/>
              </w:rPr>
              <w:t>Result</w:t>
            </w:r>
          </w:p>
        </w:tc>
      </w:tr>
      <w:tr>
        <w:trPr>
          <w:cantSplit/>
        </w:trPr>
        <w:tc>
          <w:tcPr>
            <w:tcW w:type="dxa" w:w="57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1"/>
              </w:rPr>
              <w:t>1</w:t>
            </w:r>
          </w:p>
        </w:tc>
        <w:tc>
          <w:tcPr>
            <w:tcW w:type="dxa" w:w="8568"/>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21"/>
              </w:rPr>
              <w:t>Guest cannot read notification menu (HTTP 302)</w:t>
            </w:r>
          </w:p>
        </w:tc>
        <w:tc>
          <w:tcPr>
            <w:tcW w:type="dxa" w:w="93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1"/>
              </w:rPr>
              <w:t>PASS</w:t>
            </w:r>
          </w:p>
        </w:tc>
      </w:tr>
      <w:tr>
        <w:trPr>
          <w:cantSplit/>
        </w:trPr>
        <w:tc>
          <w:tcPr>
            <w:tcW w:type="dxa" w:w="57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1"/>
              </w:rPr>
              <w:t>2</w:t>
            </w:r>
          </w:p>
        </w:tc>
        <w:tc>
          <w:tcPr>
            <w:tcW w:type="dxa" w:w="8568"/>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21"/>
              </w:rPr>
              <w:t>Personal account registration succeeds</w:t>
            </w:r>
          </w:p>
        </w:tc>
        <w:tc>
          <w:tcPr>
            <w:tcW w:type="dxa" w:w="93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1"/>
              </w:rPr>
              <w:t>PASS</w:t>
            </w:r>
          </w:p>
        </w:tc>
      </w:tr>
      <w:tr>
        <w:trPr>
          <w:cantSplit/>
        </w:trPr>
        <w:tc>
          <w:tcPr>
            <w:tcW w:type="dxa" w:w="57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1"/>
              </w:rPr>
              <w:t>3</w:t>
            </w:r>
          </w:p>
        </w:tc>
        <w:tc>
          <w:tcPr>
            <w:tcW w:type="dxa" w:w="8568"/>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21"/>
              </w:rPr>
              <w:t>New account has empty inbox</w:t>
            </w:r>
          </w:p>
        </w:tc>
        <w:tc>
          <w:tcPr>
            <w:tcW w:type="dxa" w:w="93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1"/>
              </w:rPr>
              <w:t>PASS</w:t>
            </w:r>
          </w:p>
        </w:tc>
      </w:tr>
      <w:tr>
        <w:trPr>
          <w:cantSplit/>
        </w:trPr>
        <w:tc>
          <w:tcPr>
            <w:tcW w:type="dxa" w:w="57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1"/>
              </w:rPr>
              <w:t>4</w:t>
            </w:r>
          </w:p>
        </w:tc>
        <w:tc>
          <w:tcPr>
            <w:tcW w:type="dxa" w:w="8568"/>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21"/>
              </w:rPr>
              <w:t>Phone fields hidden until selected</w:t>
            </w:r>
          </w:p>
        </w:tc>
        <w:tc>
          <w:tcPr>
            <w:tcW w:type="dxa" w:w="93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1"/>
              </w:rPr>
              <w:t>PASS</w:t>
            </w:r>
          </w:p>
        </w:tc>
      </w:tr>
      <w:tr>
        <w:trPr>
          <w:cantSplit/>
        </w:trPr>
        <w:tc>
          <w:tcPr>
            <w:tcW w:type="dxa" w:w="57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1"/>
              </w:rPr>
              <w:t>5</w:t>
            </w:r>
          </w:p>
        </w:tc>
        <w:tc>
          <w:tcPr>
            <w:tcW w:type="dxa" w:w="8568"/>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21"/>
              </w:rPr>
              <w:t>Address hidden until selected</w:t>
            </w:r>
          </w:p>
        </w:tc>
        <w:tc>
          <w:tcPr>
            <w:tcW w:type="dxa" w:w="93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1"/>
              </w:rPr>
              <w:t>PASS</w:t>
            </w:r>
          </w:p>
        </w:tc>
      </w:tr>
      <w:tr>
        <w:trPr>
          <w:cantSplit/>
        </w:trPr>
        <w:tc>
          <w:tcPr>
            <w:tcW w:type="dxa" w:w="57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1"/>
              </w:rPr>
              <w:t>6</w:t>
            </w:r>
          </w:p>
        </w:tc>
        <w:tc>
          <w:tcPr>
            <w:tcW w:type="dxa" w:w="8568"/>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21"/>
              </w:rPr>
              <w:t>Agency registration redirects to billing</w:t>
            </w:r>
          </w:p>
        </w:tc>
        <w:tc>
          <w:tcPr>
            <w:tcW w:type="dxa" w:w="93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1"/>
              </w:rPr>
              <w:t>PASS</w:t>
            </w:r>
          </w:p>
        </w:tc>
      </w:tr>
      <w:tr>
        <w:trPr>
          <w:cantSplit/>
        </w:trPr>
        <w:tc>
          <w:tcPr>
            <w:tcW w:type="dxa" w:w="57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1"/>
              </w:rPr>
              <w:t>7</w:t>
            </w:r>
          </w:p>
        </w:tc>
        <w:tc>
          <w:tcPr>
            <w:tcW w:type="dxa" w:w="8568"/>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21"/>
              </w:rPr>
              <w:t>Registration does not enable Stripe or charge</w:t>
            </w:r>
          </w:p>
        </w:tc>
        <w:tc>
          <w:tcPr>
            <w:tcW w:type="dxa" w:w="93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1"/>
              </w:rPr>
              <w:t>PASS</w:t>
            </w:r>
          </w:p>
        </w:tc>
      </w:tr>
      <w:tr>
        <w:trPr>
          <w:cantSplit/>
        </w:trPr>
        <w:tc>
          <w:tcPr>
            <w:tcW w:type="dxa" w:w="57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1"/>
              </w:rPr>
              <w:t>8</w:t>
            </w:r>
          </w:p>
        </w:tc>
        <w:tc>
          <w:tcPr>
            <w:tcW w:type="dxa" w:w="8568"/>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21"/>
              </w:rPr>
              <w:t>Notification menu available on locked billing</w:t>
            </w:r>
          </w:p>
        </w:tc>
        <w:tc>
          <w:tcPr>
            <w:tcW w:type="dxa" w:w="93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1"/>
              </w:rPr>
              <w:t>PASS</w:t>
            </w:r>
          </w:p>
        </w:tc>
      </w:tr>
      <w:tr>
        <w:trPr>
          <w:cantSplit/>
        </w:trPr>
        <w:tc>
          <w:tcPr>
            <w:tcW w:type="dxa" w:w="57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1"/>
              </w:rPr>
              <w:t>9</w:t>
            </w:r>
          </w:p>
        </w:tc>
        <w:tc>
          <w:tcPr>
            <w:tcW w:type="dxa" w:w="8568"/>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21"/>
              </w:rPr>
              <w:t>Owner receives pending review receipt</w:t>
            </w:r>
          </w:p>
        </w:tc>
        <w:tc>
          <w:tcPr>
            <w:tcW w:type="dxa" w:w="93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1"/>
              </w:rPr>
              <w:t>PASS</w:t>
            </w:r>
          </w:p>
        </w:tc>
      </w:tr>
      <w:tr>
        <w:trPr>
          <w:cantSplit/>
        </w:trPr>
        <w:tc>
          <w:tcPr>
            <w:tcW w:type="dxa" w:w="57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1"/>
              </w:rPr>
              <w:t>10</w:t>
            </w:r>
          </w:p>
        </w:tc>
        <w:tc>
          <w:tcPr>
            <w:tcW w:type="dxa" w:w="8568"/>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21"/>
              </w:rPr>
              <w:t>Agency owner cannot access platform review</w:t>
            </w:r>
          </w:p>
        </w:tc>
        <w:tc>
          <w:tcPr>
            <w:tcW w:type="dxa" w:w="93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1"/>
              </w:rPr>
              <w:t>PASS</w:t>
            </w:r>
          </w:p>
        </w:tc>
      </w:tr>
      <w:tr>
        <w:trPr>
          <w:cantSplit/>
        </w:trPr>
        <w:tc>
          <w:tcPr>
            <w:tcW w:type="dxa" w:w="57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1"/>
              </w:rPr>
              <w:t>11</w:t>
            </w:r>
          </w:p>
        </w:tc>
        <w:tc>
          <w:tcPr>
            <w:tcW w:type="dxa" w:w="8568"/>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21"/>
              </w:rPr>
              <w:t>Registration retry redirects to same agency</w:t>
            </w:r>
          </w:p>
        </w:tc>
        <w:tc>
          <w:tcPr>
            <w:tcW w:type="dxa" w:w="93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1"/>
              </w:rPr>
              <w:t>PASS</w:t>
            </w:r>
          </w:p>
        </w:tc>
      </w:tr>
      <w:tr>
        <w:trPr>
          <w:cantSplit/>
        </w:trPr>
        <w:tc>
          <w:tcPr>
            <w:tcW w:type="dxa" w:w="57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1"/>
              </w:rPr>
              <w:t>12</w:t>
            </w:r>
          </w:p>
        </w:tc>
        <w:tc>
          <w:tcPr>
            <w:tcW w:type="dxa" w:w="8568"/>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21"/>
              </w:rPr>
              <w:t>Administrator receives registration review alert</w:t>
            </w:r>
          </w:p>
        </w:tc>
        <w:tc>
          <w:tcPr>
            <w:tcW w:type="dxa" w:w="93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1"/>
              </w:rPr>
              <w:t>PASS</w:t>
            </w:r>
          </w:p>
        </w:tc>
      </w:tr>
      <w:tr>
        <w:trPr>
          <w:cantSplit/>
        </w:trPr>
        <w:tc>
          <w:tcPr>
            <w:tcW w:type="dxa" w:w="57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1"/>
              </w:rPr>
              <w:t>13</w:t>
            </w:r>
          </w:p>
        </w:tc>
        <w:tc>
          <w:tcPr>
            <w:tcW w:type="dxa" w:w="8568"/>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21"/>
              </w:rPr>
              <w:t>Owner cannot mark administrator notification as read (HTTP 404)</w:t>
            </w:r>
          </w:p>
        </w:tc>
        <w:tc>
          <w:tcPr>
            <w:tcW w:type="dxa" w:w="93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1"/>
              </w:rPr>
              <w:t>PASS</w:t>
            </w:r>
          </w:p>
        </w:tc>
      </w:tr>
      <w:tr>
        <w:trPr>
          <w:cantSplit/>
        </w:trPr>
        <w:tc>
          <w:tcPr>
            <w:tcW w:type="dxa" w:w="57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1"/>
              </w:rPr>
              <w:t>14</w:t>
            </w:r>
          </w:p>
        </w:tc>
        <w:tc>
          <w:tcPr>
            <w:tcW w:type="dxa" w:w="8568"/>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21"/>
              </w:rPr>
              <w:t>Notification read requires CSRF token (HTTP 403)</w:t>
            </w:r>
          </w:p>
        </w:tc>
        <w:tc>
          <w:tcPr>
            <w:tcW w:type="dxa" w:w="93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1"/>
              </w:rPr>
              <w:t>PASS</w:t>
            </w:r>
          </w:p>
        </w:tc>
      </w:tr>
    </w:tbl>
    <w:p>
      <w:pPr>
        <w:spacing w:after="0"/>
      </w:pPr>
    </w:p>
    <w:p>
      <w:pPr>
        <w:pStyle w:val="Heading2"/>
      </w:pPr>
      <w:r>
        <w:t>Registration and read controls</w:t>
      </w:r>
    </w:p>
    <w:p>
      <w:r>
        <w:t>The same registration form key returned the original agency on retry. Another account could not read or mark the administrator notification, and missing CSRF protection prevented a read action. Administrator review displayed the saved contact and address information.</w:t>
      </w:r>
    </w:p>
    <w:p>
      <w:r>
        <w:br w:type="page"/>
      </w:r>
    </w:p>
    <w:p>
      <w:pPr>
        <w:pStyle w:val="Heading1"/>
      </w:pPr>
      <w:r>
        <w:t>Browser checks 15 to 28</w:t>
      </w:r>
    </w:p>
    <w:p>
      <w:r>
        <w:t>The browser test used a disposable fictional account and agency on the local HTTPS application. It exercised the owner and administrator in separate browser contexts.</w:t>
      </w:r>
    </w:p>
    <w:tbl>
      <w:tblPr>
        <w:tblW w:type="auto" w:w="0"/>
        <w:jc w:val="center"/>
        <w:tblLayout w:type="fixed"/>
        <w:tblLook w:firstColumn="1" w:firstRow="1" w:lastColumn="0" w:lastRow="0" w:noHBand="0" w:noVBand="1" w:val="04A0"/>
      </w:tblPr>
      <w:tblGrid>
        <w:gridCol w:w="576"/>
        <w:gridCol w:w="8568"/>
        <w:gridCol w:w="936"/>
      </w:tblGrid>
      <w:tr>
        <w:trPr>
          <w:tblHeader/>
          <w:cantSplit/>
        </w:trPr>
        <w:tc>
          <w:tcPr>
            <w:tcW w:type="dxa" w:w="57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29343A"/>
          </w:tcPr>
          <w:p>
            <w:pPr>
              <w:spacing w:after="0" w:line="247" w:lineRule="auto"/>
              <w:jc w:val="center"/>
            </w:pPr>
            <w:r>
              <w:rPr>
                <w:b/>
                <w:color w:val="FFFFFF"/>
                <w:sz w:val="21"/>
              </w:rPr>
              <w:t>No</w:t>
            </w:r>
          </w:p>
        </w:tc>
        <w:tc>
          <w:tcPr>
            <w:tcW w:type="dxa" w:w="8568"/>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29343A"/>
          </w:tcPr>
          <w:p>
            <w:pPr>
              <w:spacing w:after="0" w:line="247" w:lineRule="auto"/>
            </w:pPr>
            <w:r>
              <w:rPr>
                <w:b/>
                <w:color w:val="FFFFFF"/>
                <w:sz w:val="21"/>
              </w:rPr>
              <w:t>Check</w:t>
            </w:r>
          </w:p>
        </w:tc>
        <w:tc>
          <w:tcPr>
            <w:tcW w:type="dxa" w:w="93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29343A"/>
          </w:tcPr>
          <w:p>
            <w:pPr>
              <w:spacing w:after="0" w:line="247" w:lineRule="auto"/>
              <w:jc w:val="center"/>
            </w:pPr>
            <w:r>
              <w:rPr>
                <w:b/>
                <w:color w:val="FFFFFF"/>
                <w:sz w:val="21"/>
              </w:rPr>
              <w:t>Result</w:t>
            </w:r>
          </w:p>
        </w:tc>
      </w:tr>
      <w:tr>
        <w:trPr>
          <w:cantSplit/>
        </w:trPr>
        <w:tc>
          <w:tcPr>
            <w:tcW w:type="dxa" w:w="57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1"/>
              </w:rPr>
              <w:t>15</w:t>
            </w:r>
          </w:p>
        </w:tc>
        <w:tc>
          <w:tcPr>
            <w:tcW w:type="dxa" w:w="8568"/>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21"/>
              </w:rPr>
              <w:t>Review shows official contact and address</w:t>
            </w:r>
          </w:p>
        </w:tc>
        <w:tc>
          <w:tcPr>
            <w:tcW w:type="dxa" w:w="93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1"/>
              </w:rPr>
              <w:t>PASS</w:t>
            </w:r>
          </w:p>
        </w:tc>
      </w:tr>
      <w:tr>
        <w:trPr>
          <w:cantSplit/>
        </w:trPr>
        <w:tc>
          <w:tcPr>
            <w:tcW w:type="dxa" w:w="57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1"/>
              </w:rPr>
              <w:t>16</w:t>
            </w:r>
          </w:p>
        </w:tc>
        <w:tc>
          <w:tcPr>
            <w:tcW w:type="dxa" w:w="8568"/>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21"/>
              </w:rPr>
              <w:t>Platform decision verified</w:t>
            </w:r>
          </w:p>
        </w:tc>
        <w:tc>
          <w:tcPr>
            <w:tcW w:type="dxa" w:w="93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1"/>
              </w:rPr>
              <w:t>PASS</w:t>
            </w:r>
          </w:p>
        </w:tc>
      </w:tr>
      <w:tr>
        <w:trPr>
          <w:cantSplit/>
        </w:trPr>
        <w:tc>
          <w:tcPr>
            <w:tcW w:type="dxa" w:w="57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1"/>
              </w:rPr>
              <w:t>17</w:t>
            </w:r>
          </w:p>
        </w:tc>
        <w:tc>
          <w:tcPr>
            <w:tcW w:type="dxa" w:w="8568"/>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21"/>
              </w:rPr>
              <w:t>Owner receives verified and approved notification</w:t>
            </w:r>
          </w:p>
        </w:tc>
        <w:tc>
          <w:tcPr>
            <w:tcW w:type="dxa" w:w="93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1"/>
              </w:rPr>
              <w:t>PASS</w:t>
            </w:r>
          </w:p>
        </w:tc>
      </w:tr>
      <w:tr>
        <w:trPr>
          <w:cantSplit/>
        </w:trPr>
        <w:tc>
          <w:tcPr>
            <w:tcW w:type="dxa" w:w="57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1"/>
              </w:rPr>
              <w:t>18</w:t>
            </w:r>
          </w:p>
        </w:tc>
        <w:tc>
          <w:tcPr>
            <w:tcW w:type="dxa" w:w="8568"/>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21"/>
              </w:rPr>
              <w:t>Owner can mark decision read</w:t>
            </w:r>
          </w:p>
        </w:tc>
        <w:tc>
          <w:tcPr>
            <w:tcW w:type="dxa" w:w="93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1"/>
              </w:rPr>
              <w:t>PASS</w:t>
            </w:r>
          </w:p>
        </w:tc>
      </w:tr>
      <w:tr>
        <w:trPr>
          <w:cantSplit/>
        </w:trPr>
        <w:tc>
          <w:tcPr>
            <w:tcW w:type="dxa" w:w="57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1"/>
              </w:rPr>
              <w:t>19</w:t>
            </w:r>
          </w:p>
        </w:tc>
        <w:tc>
          <w:tcPr>
            <w:tcW w:type="dxa" w:w="8568"/>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21"/>
              </w:rPr>
              <w:t>Platform decision rejected</w:t>
            </w:r>
          </w:p>
        </w:tc>
        <w:tc>
          <w:tcPr>
            <w:tcW w:type="dxa" w:w="93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1"/>
              </w:rPr>
              <w:t>PASS</w:t>
            </w:r>
          </w:p>
        </w:tc>
      </w:tr>
      <w:tr>
        <w:trPr>
          <w:cantSplit/>
        </w:trPr>
        <w:tc>
          <w:tcPr>
            <w:tcW w:type="dxa" w:w="57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1"/>
              </w:rPr>
              <w:t>20</w:t>
            </w:r>
          </w:p>
        </w:tc>
        <w:tc>
          <w:tcPr>
            <w:tcW w:type="dxa" w:w="8568"/>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21"/>
              </w:rPr>
              <w:t>Notification count updates without page reload</w:t>
            </w:r>
          </w:p>
        </w:tc>
        <w:tc>
          <w:tcPr>
            <w:tcW w:type="dxa" w:w="93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1"/>
              </w:rPr>
              <w:t>PASS</w:t>
            </w:r>
          </w:p>
        </w:tc>
      </w:tr>
      <w:tr>
        <w:trPr>
          <w:cantSplit/>
        </w:trPr>
        <w:tc>
          <w:tcPr>
            <w:tcW w:type="dxa" w:w="57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1"/>
              </w:rPr>
              <w:t>21</w:t>
            </w:r>
          </w:p>
        </w:tc>
        <w:tc>
          <w:tcPr>
            <w:tcW w:type="dxa" w:w="8568"/>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21"/>
              </w:rPr>
              <w:t>Rejected status notification is accurate</w:t>
            </w:r>
          </w:p>
        </w:tc>
        <w:tc>
          <w:tcPr>
            <w:tcW w:type="dxa" w:w="93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1"/>
              </w:rPr>
              <w:t>PASS</w:t>
            </w:r>
          </w:p>
        </w:tc>
      </w:tr>
      <w:tr>
        <w:trPr>
          <w:cantSplit/>
        </w:trPr>
        <w:tc>
          <w:tcPr>
            <w:tcW w:type="dxa" w:w="57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1"/>
              </w:rPr>
              <w:t>22</w:t>
            </w:r>
          </w:p>
        </w:tc>
        <w:tc>
          <w:tcPr>
            <w:tcW w:type="dxa" w:w="8568"/>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21"/>
              </w:rPr>
              <w:t>Platform decision suspended</w:t>
            </w:r>
          </w:p>
        </w:tc>
        <w:tc>
          <w:tcPr>
            <w:tcW w:type="dxa" w:w="93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1"/>
              </w:rPr>
              <w:t>PASS</w:t>
            </w:r>
          </w:p>
        </w:tc>
      </w:tr>
      <w:tr>
        <w:trPr>
          <w:cantSplit/>
        </w:trPr>
        <w:tc>
          <w:tcPr>
            <w:tcW w:type="dxa" w:w="57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1"/>
              </w:rPr>
              <w:t>23</w:t>
            </w:r>
          </w:p>
        </w:tc>
        <w:tc>
          <w:tcPr>
            <w:tcW w:type="dxa" w:w="8568"/>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21"/>
              </w:rPr>
              <w:t>Suspended owner can still view personal notifications</w:t>
            </w:r>
          </w:p>
        </w:tc>
        <w:tc>
          <w:tcPr>
            <w:tcW w:type="dxa" w:w="93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1"/>
              </w:rPr>
              <w:t>PASS</w:t>
            </w:r>
          </w:p>
        </w:tc>
      </w:tr>
      <w:tr>
        <w:trPr>
          <w:cantSplit/>
        </w:trPr>
        <w:tc>
          <w:tcPr>
            <w:tcW w:type="dxa" w:w="57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1"/>
              </w:rPr>
              <w:t>24</w:t>
            </w:r>
          </w:p>
        </w:tc>
        <w:tc>
          <w:tcPr>
            <w:tcW w:type="dxa" w:w="8568"/>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21"/>
              </w:rPr>
              <w:t>Suspension restricts agency access</w:t>
            </w:r>
          </w:p>
        </w:tc>
        <w:tc>
          <w:tcPr>
            <w:tcW w:type="dxa" w:w="93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1"/>
              </w:rPr>
              <w:t>PASS</w:t>
            </w:r>
          </w:p>
        </w:tc>
      </w:tr>
      <w:tr>
        <w:trPr>
          <w:cantSplit/>
        </w:trPr>
        <w:tc>
          <w:tcPr>
            <w:tcW w:type="dxa" w:w="57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1"/>
              </w:rPr>
              <w:t>25</w:t>
            </w:r>
          </w:p>
        </w:tc>
        <w:tc>
          <w:tcPr>
            <w:tcW w:type="dxa" w:w="8568"/>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21"/>
              </w:rPr>
              <w:t>Platform decision verified</w:t>
            </w:r>
          </w:p>
        </w:tc>
        <w:tc>
          <w:tcPr>
            <w:tcW w:type="dxa" w:w="93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1"/>
              </w:rPr>
              <w:t>PASS</w:t>
            </w:r>
          </w:p>
        </w:tc>
      </w:tr>
      <w:tr>
        <w:trPr>
          <w:cantSplit/>
        </w:trPr>
        <w:tc>
          <w:tcPr>
            <w:tcW w:type="dxa" w:w="57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1"/>
              </w:rPr>
              <w:t>26</w:t>
            </w:r>
          </w:p>
        </w:tc>
        <w:tc>
          <w:tcPr>
            <w:tcW w:type="dxa" w:w="8568"/>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21"/>
              </w:rPr>
              <w:t>Approval leaves trial awaiting card</w:t>
            </w:r>
          </w:p>
        </w:tc>
        <w:tc>
          <w:tcPr>
            <w:tcW w:type="dxa" w:w="93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1"/>
              </w:rPr>
              <w:t>PASS</w:t>
            </w:r>
          </w:p>
        </w:tc>
      </w:tr>
      <w:tr>
        <w:trPr>
          <w:cantSplit/>
        </w:trPr>
        <w:tc>
          <w:tcPr>
            <w:tcW w:type="dxa" w:w="57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1"/>
              </w:rPr>
              <w:t>27</w:t>
            </w:r>
          </w:p>
        </w:tc>
        <w:tc>
          <w:tcPr>
            <w:tcW w:type="dxa" w:w="8568"/>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21"/>
              </w:rPr>
              <w:t>Mobile notification panel stays below trigger and inside viewport</w:t>
            </w:r>
          </w:p>
        </w:tc>
        <w:tc>
          <w:tcPr>
            <w:tcW w:type="dxa" w:w="93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jc w:val="center"/>
            </w:pPr>
            <w:r>
              <w:rPr>
                <w:b w:val="0"/>
                <w:color w:val="000000"/>
                <w:sz w:val="21"/>
              </w:rPr>
              <w:t>PASS</w:t>
            </w:r>
          </w:p>
        </w:tc>
      </w:tr>
      <w:tr>
        <w:trPr>
          <w:cantSplit/>
        </w:trPr>
        <w:tc>
          <w:tcPr>
            <w:tcW w:type="dxa" w:w="57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1"/>
              </w:rPr>
              <w:t>28</w:t>
            </w:r>
          </w:p>
        </w:tc>
        <w:tc>
          <w:tcPr>
            <w:tcW w:type="dxa" w:w="8568"/>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21"/>
              </w:rPr>
              <w:t>Notification menu available on platform policy page</w:t>
            </w:r>
          </w:p>
        </w:tc>
        <w:tc>
          <w:tcPr>
            <w:tcW w:type="dxa" w:w="93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jc w:val="center"/>
            </w:pPr>
            <w:r>
              <w:rPr>
                <w:b w:val="0"/>
                <w:color w:val="000000"/>
                <w:sz w:val="21"/>
              </w:rPr>
              <w:t>PASS</w:t>
            </w:r>
          </w:p>
        </w:tc>
      </w:tr>
    </w:tbl>
    <w:p>
      <w:pPr>
        <w:spacing w:after="0"/>
      </w:pPr>
    </w:p>
    <w:p>
      <w:pPr>
        <w:pStyle w:val="Heading2"/>
      </w:pPr>
      <w:r>
        <w:t>Decisions and access</w:t>
      </w:r>
    </w:p>
    <w:p>
      <w:r>
        <w:t>Verified, rejected, suspended and reapproved decisions produced distinct messages with review notes. A suspended owner retained access to the personal inbox while agency access was restricted. Approval left billing awaiting card, and the unread count updated without a page reload.</w:t>
      </w:r>
    </w:p>
    <w:p>
      <w:r>
        <w:br w:type="page"/>
      </w:r>
    </w:p>
    <w:p>
      <w:pPr>
        <w:pStyle w:val="Heading1"/>
      </w:pPr>
      <w:r>
        <w:t>Findings evidence and test scope</w:t>
      </w:r>
    </w:p>
    <w:p>
      <w:pPr>
        <w:pStyle w:val="Heading2"/>
      </w:pPr>
      <w:r>
        <w:t>Implemented controls</w:t>
      </w:r>
    </w:p>
    <w:p>
      <w:r>
        <w:t>Registration and decision notifications are saved in the same transaction as the business change. Simulated notification storage failures rolled back registration or approval.</w:t>
      </w:r>
    </w:p>
    <w:p>
      <w:r>
        <w:t>Per-form registration protection prevents duplicate agencies and duplicate alerts. Platform role and account status checks reject stale or revoked access.</w:t>
      </w:r>
    </w:p>
    <w:p>
      <w:r>
        <w:t>Notification creation and read times are stored in UTC. The mobile popup remains below its trigger and inside the viewport.</w:t>
      </w:r>
    </w:p>
    <w:p>
      <w:r>
        <w:t>The browser harness follows the existing account-name policy, accepts the correct HTTP 303 redirect and uses desktop sign-out after the mobile layout check.</w:t>
      </w:r>
    </w:p>
    <w:p>
      <w:pPr>
        <w:pStyle w:val="Heading2"/>
      </w:pPr>
      <w:r>
        <w:t>Cleanup and preserved data</w:t>
      </w:r>
    </w:p>
    <w:p>
      <w:r>
        <w:t>The disposable test account, agency and its notifications were removed after the browser run. Existing account IDs were preserved. No real card setup or payment occurred. The private fixture credential manifest was deleted and is not included in the evidence.</w:t>
      </w:r>
    </w:p>
    <w:p>
      <w:pPr>
        <w:pStyle w:val="Heading2"/>
      </w:pPr>
      <w:r>
        <w:t>Evidence retained beside this document</w:t>
      </w:r>
    </w:p>
    <w:tbl>
      <w:tblPr>
        <w:tblW w:type="auto" w:w="0"/>
        <w:jc w:val="center"/>
        <w:tblLayout w:type="fixed"/>
        <w:tblLook w:firstColumn="1" w:firstRow="1" w:lastColumn="0" w:lastRow="0" w:noHBand="0" w:noVBand="1" w:val="04A0"/>
      </w:tblPr>
      <w:tblGrid>
        <w:gridCol w:w="3240"/>
        <w:gridCol w:w="6840"/>
      </w:tblGrid>
      <w:tr>
        <w:trPr>
          <w:tblHeader/>
          <w:cantSplit/>
        </w:trPr>
        <w:tc>
          <w:tcPr>
            <w:tcW w:type="dxa" w:w="324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29343A"/>
          </w:tcPr>
          <w:p>
            <w:pPr>
              <w:spacing w:after="0" w:line="247" w:lineRule="auto"/>
            </w:pPr>
            <w:r>
              <w:rPr>
                <w:b/>
                <w:color w:val="FFFFFF"/>
                <w:sz w:val="20"/>
              </w:rPr>
              <w:t>File</w:t>
            </w:r>
          </w:p>
        </w:tc>
        <w:tc>
          <w:tcPr>
            <w:tcW w:type="dxa" w:w="684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29343A"/>
          </w:tcPr>
          <w:p>
            <w:pPr>
              <w:spacing w:after="0" w:line="247" w:lineRule="auto"/>
            </w:pPr>
            <w:r>
              <w:rPr>
                <w:b/>
                <w:color w:val="FFFFFF"/>
                <w:sz w:val="20"/>
              </w:rPr>
              <w:t>Purpose</w:t>
            </w:r>
          </w:p>
        </w:tc>
      </w:tr>
      <w:tr>
        <w:trPr>
          <w:cantSplit/>
        </w:trPr>
        <w:tc>
          <w:tcPr>
            <w:tcW w:type="dxa" w:w="324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20"/>
              </w:rPr>
              <w:t>backend-tests.txt</w:t>
            </w:r>
          </w:p>
        </w:tc>
        <w:tc>
          <w:tcPr>
            <w:tcW w:type="dxa" w:w="684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20"/>
              </w:rPr>
              <w:t>Backend console result</w:t>
            </w:r>
          </w:p>
        </w:tc>
      </w:tr>
      <w:tr>
        <w:trPr>
          <w:cantSplit/>
        </w:trPr>
        <w:tc>
          <w:tcPr>
            <w:tcW w:type="dxa" w:w="324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20"/>
              </w:rPr>
              <w:t>backend-junit.xml</w:t>
            </w:r>
          </w:p>
        </w:tc>
        <w:tc>
          <w:tcPr>
            <w:tcW w:type="dxa" w:w="684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20"/>
              </w:rPr>
              <w:t>Machine-readable test results</w:t>
            </w:r>
          </w:p>
        </w:tc>
      </w:tr>
      <w:tr>
        <w:trPr>
          <w:cantSplit/>
        </w:trPr>
        <w:tc>
          <w:tcPr>
            <w:tcW w:type="dxa" w:w="324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20"/>
              </w:rPr>
              <w:t>scenario-results.txt</w:t>
            </w:r>
          </w:p>
        </w:tc>
        <w:tc>
          <w:tcPr>
            <w:tcW w:type="dxa" w:w="684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20"/>
              </w:rPr>
              <w:t>Named test outcomes</w:t>
            </w:r>
          </w:p>
        </w:tc>
      </w:tr>
      <w:tr>
        <w:trPr>
          <w:cantSplit/>
        </w:trPr>
        <w:tc>
          <w:tcPr>
            <w:tcW w:type="dxa" w:w="324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20"/>
              </w:rPr>
              <w:t>test-case-matrix.csv</w:t>
            </w:r>
          </w:p>
        </w:tc>
        <w:tc>
          <w:tcPr>
            <w:tcW w:type="dxa" w:w="684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20"/>
              </w:rPr>
              <w:t>All 254 backend case results</w:t>
            </w:r>
          </w:p>
        </w:tc>
      </w:tr>
      <w:tr>
        <w:trPr>
          <w:cantSplit/>
        </w:trPr>
        <w:tc>
          <w:tcPr>
            <w:tcW w:type="dxa" w:w="324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20"/>
              </w:rPr>
              <w:t>browser-results.json</w:t>
            </w:r>
          </w:p>
        </w:tc>
        <w:tc>
          <w:tcPr>
            <w:tcW w:type="dxa" w:w="684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20"/>
              </w:rPr>
              <w:t>28 browser checks and evidence references</w:t>
            </w:r>
          </w:p>
        </w:tc>
      </w:tr>
      <w:tr>
        <w:trPr>
          <w:cantSplit/>
        </w:trPr>
        <w:tc>
          <w:tcPr>
            <w:tcW w:type="dxa" w:w="324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20"/>
              </w:rPr>
              <w:t>cleanup-results.json</w:t>
            </w:r>
          </w:p>
        </w:tc>
        <w:tc>
          <w:tcPr>
            <w:tcW w:type="dxa" w:w="684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2F4F5"/>
          </w:tcPr>
          <w:p>
            <w:pPr>
              <w:spacing w:after="0" w:line="247" w:lineRule="auto"/>
            </w:pPr>
            <w:r>
              <w:rPr>
                <w:b w:val="0"/>
                <w:color w:val="000000"/>
                <w:sz w:val="20"/>
              </w:rPr>
              <w:t>Disposable fixture cleanup verification</w:t>
            </w:r>
          </w:p>
        </w:tc>
      </w:tr>
      <w:tr>
        <w:trPr>
          <w:cantSplit/>
        </w:trPr>
        <w:tc>
          <w:tcPr>
            <w:tcW w:type="dxa" w:w="324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20"/>
              </w:rPr>
              <w:t>screenshots folder</w:t>
            </w:r>
          </w:p>
        </w:tc>
        <w:tc>
          <w:tcPr>
            <w:tcW w:type="dxa" w:w="684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47" w:lineRule="auto"/>
            </w:pPr>
            <w:r>
              <w:rPr>
                <w:b w:val="0"/>
                <w:color w:val="000000"/>
                <w:sz w:val="20"/>
              </w:rPr>
              <w:t>Nine original fictional test captures</w:t>
            </w:r>
          </w:p>
        </w:tc>
      </w:tr>
    </w:tbl>
    <w:p>
      <w:pPr>
        <w:spacing w:after="0"/>
      </w:pPr>
    </w:p>
    <w:p>
      <w:pPr>
        <w:pStyle w:val="Heading2"/>
      </w:pPr>
      <w:r>
        <w:t>Reproduction</w:t>
      </w:r>
    </w:p>
    <w:p>
      <w:r>
        <w:rPr>
          <w:sz w:val="19"/>
        </w:rPr>
        <w:t>Run the backend suite from the CareSys repository with C:/xampp/php/php.exe vendor/phpunit/phpunit/phpunit --no-coverage.</w:t>
      </w:r>
    </w:p>
    <w:p>
      <w:r>
        <w:rPr>
          <w:sz w:val="19"/>
        </w:rPr>
        <w:t>For browser checks, start the local HTTPS servers, set CARESYS_NODE_MODULES to the Playwright package directory and run node tests/Browser/register-agency-notifications.cjs. Then run C:/xampp/php/php.exe tests/Browser/cleanup-register-agency.php. The guarded cleanup removes only its disposable fixture and private manifest. Do not seed or reset existing user accounts.</w:t>
      </w:r>
    </w:p>
    <w:p>
      <w:pPr>
        <w:pStyle w:val="Heading2"/>
      </w:pPr>
      <w:r>
        <w:t>Scope and limits</w:t>
      </w:r>
    </w:p>
    <w:p>
      <w:r>
        <w:rPr>
          <w:sz w:val="19"/>
        </w:rPr>
        <w:t>These are local in-app tests, not production certification or email, SMS or push delivery. Postal checks validate format rather than deliverability. The 128 optional-choice combinations are exhaustive for the tested flags; arbitrary text and every real-world business arrangement cannot be exhaustively enumerated. The menu shows 10 notifications and the inbox the latest 100 eligible notifications. With no active platform administrator, the registration remains pending and the owner receives a receipt. Existing pending agencies were not retroactively notified.</w:t>
      </w:r>
    </w:p>
    <w:p>
      <w:pPr>
        <w:sectPr>
          <w:headerReference w:type="default" r:id="rId9"/>
          <w:footerReference w:type="default" r:id="rId10"/>
          <w:pgSz w:w="12240" w:h="15840"/>
          <w:pgMar w:top="1008" w:right="1080" w:bottom="1008" w:left="1080" w:header="360" w:footer="360" w:gutter="0"/>
          <w:cols w:space="720"/>
          <w:docGrid w:linePitch="360"/>
        </w:sectPr>
      </w:pPr>
    </w:p>
    <w:p>
      <w:pPr>
        <w:pStyle w:val="Heading1"/>
      </w:pPr>
      <w:r>
        <w:t>Empty inbox and administrator notification evidence</w:t>
      </w:r>
    </w:p>
    <w:p>
      <w:pPr>
        <w:spacing w:after="60"/>
        <w:jc w:val="center"/>
      </w:pPr>
      <w:r>
        <w:drawing>
          <wp:inline xmlns:a="http://schemas.openxmlformats.org/drawingml/2006/main" xmlns:pic="http://schemas.openxmlformats.org/drawingml/2006/picture">
            <wp:extent cx="8961120" cy="2839686"/>
            <wp:docPr id="1" name="Picture 1" descr="Screenshot 1  A new account starts with an empty inbox."/>
            <wp:cNvGraphicFramePr>
              <a:graphicFrameLocks noChangeAspect="1"/>
            </wp:cNvGraphicFramePr>
            <a:graphic>
              <a:graphicData uri="http://schemas.openxmlformats.org/drawingml/2006/picture">
                <pic:pic>
                  <pic:nvPicPr>
                    <pic:cNvPr id="0" name="01-empty-owner-inbox.png"/>
                    <pic:cNvPicPr/>
                  </pic:nvPicPr>
                  <pic:blipFill>
                    <a:blip r:embed="rId11"/>
                    <a:stretch>
                      <a:fillRect/>
                    </a:stretch>
                  </pic:blipFill>
                  <pic:spPr>
                    <a:xfrm>
                      <a:off x="0" y="0"/>
                      <a:ext cx="8961120" cy="2839686"/>
                    </a:xfrm>
                    <a:prstGeom prst="rect"/>
                  </pic:spPr>
                </pic:pic>
              </a:graphicData>
            </a:graphic>
          </wp:inline>
        </w:drawing>
      </w:r>
    </w:p>
    <w:p>
      <w:pPr>
        <w:pStyle w:val="Caption"/>
        <w:keepNext w:val="0"/>
      </w:pPr>
      <w:r>
        <w:t>Screenshot 1  A new account starts with an empty inbox.</w:t>
      </w:r>
    </w:p>
    <w:p>
      <w:pPr>
        <w:spacing w:after="60"/>
        <w:jc w:val="center"/>
      </w:pPr>
      <w:r>
        <w:drawing>
          <wp:inline xmlns:a="http://schemas.openxmlformats.org/drawingml/2006/main" xmlns:pic="http://schemas.openxmlformats.org/drawingml/2006/picture">
            <wp:extent cx="3108960" cy="2163718"/>
            <wp:docPr id="2" name="Picture 2" descr="Screenshot 4  An active platform administrator receives a review request."/>
            <wp:cNvGraphicFramePr>
              <a:graphicFrameLocks noChangeAspect="1"/>
            </wp:cNvGraphicFramePr>
            <a:graphic>
              <a:graphicData uri="http://schemas.openxmlformats.org/drawingml/2006/picture">
                <pic:pic>
                  <pic:nvPicPr>
                    <pic:cNvPr id="0" name="04-platform-review-notification.png"/>
                    <pic:cNvPicPr/>
                  </pic:nvPicPr>
                  <pic:blipFill>
                    <a:blip r:embed="rId12"/>
                    <a:stretch>
                      <a:fillRect/>
                    </a:stretch>
                  </pic:blipFill>
                  <pic:spPr>
                    <a:xfrm>
                      <a:off x="0" y="0"/>
                      <a:ext cx="3108960" cy="2163718"/>
                    </a:xfrm>
                    <a:prstGeom prst="rect"/>
                  </pic:spPr>
                </pic:pic>
              </a:graphicData>
            </a:graphic>
          </wp:inline>
        </w:drawing>
      </w:r>
    </w:p>
    <w:p>
      <w:pPr>
        <w:pStyle w:val="Caption"/>
        <w:keepNext w:val="0"/>
      </w:pPr>
      <w:r>
        <w:t>Screenshot 4  An active platform administrator receives a review request.</w:t>
      </w:r>
    </w:p>
    <w:p>
      <w:r>
        <w:br w:type="page"/>
      </w:r>
    </w:p>
    <w:p>
      <w:pPr>
        <w:pStyle w:val="Heading1"/>
      </w:pPr>
      <w:r>
        <w:t>Registration form evidence</w:t>
      </w:r>
    </w:p>
    <w:p>
      <w:pPr>
        <w:spacing w:after="60"/>
        <w:jc w:val="center"/>
      </w:pPr>
      <w:r>
        <w:drawing>
          <wp:inline xmlns:a="http://schemas.openxmlformats.org/drawingml/2006/main" xmlns:pic="http://schemas.openxmlformats.org/drawingml/2006/picture">
            <wp:extent cx="9235440" cy="5394533"/>
            <wp:docPr id="3" name="Picture 3" descr="Screenshot 2 part 1  The same completed form is shown in two parts so its phone and address controls remain readable."/>
            <wp:cNvGraphicFramePr>
              <a:graphicFrameLocks noChangeAspect="1"/>
            </wp:cNvGraphicFramePr>
            <a:graphic>
              <a:graphicData uri="http://schemas.openxmlformats.org/drawingml/2006/picture">
                <pic:pic>
                  <pic:nvPicPr>
                    <pic:cNvPr id="0" name="registration-form-part-1.png"/>
                    <pic:cNvPicPr/>
                  </pic:nvPicPr>
                  <pic:blipFill>
                    <a:blip r:embed="rId13"/>
                    <a:stretch>
                      <a:fillRect/>
                    </a:stretch>
                  </pic:blipFill>
                  <pic:spPr>
                    <a:xfrm>
                      <a:off x="0" y="0"/>
                      <a:ext cx="9235440" cy="5394533"/>
                    </a:xfrm>
                    <a:prstGeom prst="rect"/>
                  </pic:spPr>
                </pic:pic>
              </a:graphicData>
            </a:graphic>
          </wp:inline>
        </w:drawing>
      </w:r>
    </w:p>
    <w:p>
      <w:pPr>
        <w:pStyle w:val="Caption"/>
        <w:keepNext w:val="0"/>
      </w:pPr>
      <w:r>
        <w:t>Screenshot 2 part 1  The same completed form is shown in two parts so its phone and address controls remain readable.</w:t>
      </w:r>
    </w:p>
    <w:p>
      <w:r>
        <w:br w:type="page"/>
      </w:r>
    </w:p>
    <w:p>
      <w:pPr>
        <w:pStyle w:val="Heading1"/>
      </w:pPr>
      <w:r>
        <w:t>Registration form evidence continued</w:t>
      </w:r>
    </w:p>
    <w:p>
      <w:pPr>
        <w:spacing w:after="60"/>
        <w:jc w:val="center"/>
      </w:pPr>
      <w:r>
        <w:drawing>
          <wp:inline xmlns:a="http://schemas.openxmlformats.org/drawingml/2006/main" xmlns:pic="http://schemas.openxmlformats.org/drawingml/2006/picture">
            <wp:extent cx="9235440" cy="4203420"/>
            <wp:docPr id="4" name="Picture 4" descr="Screenshot 2 part 2  The same completed form is shown in two parts so its phone and address controls remain readable."/>
            <wp:cNvGraphicFramePr>
              <a:graphicFrameLocks noChangeAspect="1"/>
            </wp:cNvGraphicFramePr>
            <a:graphic>
              <a:graphicData uri="http://schemas.openxmlformats.org/drawingml/2006/picture">
                <pic:pic>
                  <pic:nvPicPr>
                    <pic:cNvPr id="0" name="registration-form-part-2.png"/>
                    <pic:cNvPicPr/>
                  </pic:nvPicPr>
                  <pic:blipFill>
                    <a:blip r:embed="rId14"/>
                    <a:stretch>
                      <a:fillRect/>
                    </a:stretch>
                  </pic:blipFill>
                  <pic:spPr>
                    <a:xfrm>
                      <a:off x="0" y="0"/>
                      <a:ext cx="9235440" cy="4203420"/>
                    </a:xfrm>
                    <a:prstGeom prst="rect"/>
                  </pic:spPr>
                </pic:pic>
              </a:graphicData>
            </a:graphic>
          </wp:inline>
        </w:drawing>
      </w:r>
    </w:p>
    <w:p>
      <w:pPr>
        <w:pStyle w:val="Caption"/>
        <w:keepNext w:val="0"/>
      </w:pPr>
      <w:r>
        <w:t>Screenshot 2 part 2  The same completed form is shown in two parts so its phone and address controls remain readable.</w:t>
      </w:r>
    </w:p>
    <w:p>
      <w:r>
        <w:br w:type="page"/>
      </w:r>
    </w:p>
    <w:p>
      <w:pPr>
        <w:pStyle w:val="Heading1"/>
      </w:pPr>
      <w:r>
        <w:t>Registration receipt and billing evidence</w:t>
      </w:r>
    </w:p>
    <w:p>
      <w:pPr>
        <w:spacing w:after="60"/>
        <w:jc w:val="center"/>
      </w:pPr>
      <w:r>
        <w:drawing>
          <wp:inline xmlns:a="http://schemas.openxmlformats.org/drawingml/2006/main" xmlns:pic="http://schemas.openxmlformats.org/drawingml/2006/picture">
            <wp:extent cx="8267699" cy="5669279"/>
            <wp:docPr id="5" name="Picture 5" descr="Screenshot 3  The receipt is available on the billing page while trial setup remains awaiting card."/>
            <wp:cNvGraphicFramePr>
              <a:graphicFrameLocks noChangeAspect="1"/>
            </wp:cNvGraphicFramePr>
            <a:graphic>
              <a:graphicData uri="http://schemas.openxmlformats.org/drawingml/2006/picture">
                <pic:pic>
                  <pic:nvPicPr>
                    <pic:cNvPr id="0" name="03-registration-received-billing.png"/>
                    <pic:cNvPicPr/>
                  </pic:nvPicPr>
                  <pic:blipFill>
                    <a:blip r:embed="rId15"/>
                    <a:stretch>
                      <a:fillRect/>
                    </a:stretch>
                  </pic:blipFill>
                  <pic:spPr>
                    <a:xfrm>
                      <a:off x="0" y="0"/>
                      <a:ext cx="8267699" cy="5669279"/>
                    </a:xfrm>
                    <a:prstGeom prst="rect"/>
                  </pic:spPr>
                </pic:pic>
              </a:graphicData>
            </a:graphic>
          </wp:inline>
        </w:drawing>
      </w:r>
    </w:p>
    <w:p>
      <w:pPr>
        <w:pStyle w:val="Caption"/>
        <w:keepNext w:val="0"/>
      </w:pPr>
      <w:r>
        <w:t>Screenshot 3  The receipt is available on the billing page while trial setup remains awaiting card.</w:t>
      </w:r>
    </w:p>
    <w:p>
      <w:r>
        <w:br w:type="page"/>
      </w:r>
    </w:p>
    <w:p>
      <w:pPr>
        <w:pStyle w:val="Heading1"/>
      </w:pPr>
      <w:r>
        <w:t>Platform registration review evidence</w:t>
      </w:r>
    </w:p>
    <w:p>
      <w:pPr>
        <w:spacing w:after="60"/>
        <w:jc w:val="center"/>
      </w:pPr>
      <w:r>
        <w:drawing>
          <wp:inline xmlns:a="http://schemas.openxmlformats.org/drawingml/2006/main" xmlns:pic="http://schemas.openxmlformats.org/drawingml/2006/picture">
            <wp:extent cx="9235440" cy="3840907"/>
            <wp:docPr id="6" name="Picture 6" descr="Screenshot 5  The administrator can inspect legal name, official contact details, address and the review decision form."/>
            <wp:cNvGraphicFramePr>
              <a:graphicFrameLocks noChangeAspect="1"/>
            </wp:cNvGraphicFramePr>
            <a:graphic>
              <a:graphicData uri="http://schemas.openxmlformats.org/drawingml/2006/picture">
                <pic:pic>
                  <pic:nvPicPr>
                    <pic:cNvPr id="0" name="05-platform-registration-review.png"/>
                    <pic:cNvPicPr/>
                  </pic:nvPicPr>
                  <pic:blipFill>
                    <a:blip r:embed="rId16"/>
                    <a:stretch>
                      <a:fillRect/>
                    </a:stretch>
                  </pic:blipFill>
                  <pic:spPr>
                    <a:xfrm>
                      <a:off x="0" y="0"/>
                      <a:ext cx="9235440" cy="3840907"/>
                    </a:xfrm>
                    <a:prstGeom prst="rect"/>
                  </pic:spPr>
                </pic:pic>
              </a:graphicData>
            </a:graphic>
          </wp:inline>
        </w:drawing>
      </w:r>
    </w:p>
    <w:p>
      <w:pPr>
        <w:pStyle w:val="Caption"/>
        <w:keepNext w:val="0"/>
      </w:pPr>
      <w:r>
        <w:t>Screenshot 5  The administrator can inspect legal name, official contact details, address and the review decision form.</w:t>
      </w:r>
    </w:p>
    <w:p>
      <w:r>
        <w:br w:type="page"/>
      </w:r>
    </w:p>
    <w:p>
      <w:pPr>
        <w:pStyle w:val="Heading1"/>
      </w:pPr>
      <w:r>
        <w:t>Verified and approved notification evidence</w:t>
      </w:r>
    </w:p>
    <w:p>
      <w:pPr>
        <w:spacing w:after="60"/>
        <w:jc w:val="center"/>
      </w:pPr>
      <w:r>
        <w:drawing>
          <wp:inline xmlns:a="http://schemas.openxmlformats.org/drawingml/2006/main" xmlns:pic="http://schemas.openxmlformats.org/drawingml/2006/picture">
            <wp:extent cx="9235440" cy="5204587"/>
            <wp:docPr id="7" name="Picture 7" descr="Screenshot 6  The owner receives the verified and approved decision and review note."/>
            <wp:cNvGraphicFramePr>
              <a:graphicFrameLocks noChangeAspect="1"/>
            </wp:cNvGraphicFramePr>
            <a:graphic>
              <a:graphicData uri="http://schemas.openxmlformats.org/drawingml/2006/picture">
                <pic:pic>
                  <pic:nvPicPr>
                    <pic:cNvPr id="0" name="06-owner-approved-notification.png"/>
                    <pic:cNvPicPr/>
                  </pic:nvPicPr>
                  <pic:blipFill>
                    <a:blip r:embed="rId17"/>
                    <a:stretch>
                      <a:fillRect/>
                    </a:stretch>
                  </pic:blipFill>
                  <pic:spPr>
                    <a:xfrm>
                      <a:off x="0" y="0"/>
                      <a:ext cx="9235440" cy="5204587"/>
                    </a:xfrm>
                    <a:prstGeom prst="rect"/>
                  </pic:spPr>
                </pic:pic>
              </a:graphicData>
            </a:graphic>
          </wp:inline>
        </w:drawing>
      </w:r>
    </w:p>
    <w:p>
      <w:pPr>
        <w:pStyle w:val="Caption"/>
        <w:keepNext w:val="0"/>
      </w:pPr>
      <w:r>
        <w:t>Screenshot 6  The owner receives the verified and approved decision and review note.</w:t>
      </w:r>
    </w:p>
    <w:p>
      <w:r>
        <w:br w:type="page"/>
      </w:r>
    </w:p>
    <w:p>
      <w:pPr>
        <w:pStyle w:val="Heading1"/>
      </w:pPr>
      <w:r>
        <w:t>Rejected registration notification evidence</w:t>
      </w:r>
    </w:p>
    <w:p>
      <w:pPr>
        <w:spacing w:after="60"/>
        <w:jc w:val="center"/>
      </w:pPr>
      <w:r>
        <w:drawing>
          <wp:inline xmlns:a="http://schemas.openxmlformats.org/drawingml/2006/main" xmlns:pic="http://schemas.openxmlformats.org/drawingml/2006/picture">
            <wp:extent cx="8585709" cy="5577839"/>
            <wp:docPr id="8" name="Picture 8" descr="Screenshot 7  Rejection appears as its own notification while the earlier approval remains in the history."/>
            <wp:cNvGraphicFramePr>
              <a:graphicFrameLocks noChangeAspect="1"/>
            </wp:cNvGraphicFramePr>
            <a:graphic>
              <a:graphicData uri="http://schemas.openxmlformats.org/drawingml/2006/picture">
                <pic:pic>
                  <pic:nvPicPr>
                    <pic:cNvPr id="0" name="07-owner-rejection-notification.png"/>
                    <pic:cNvPicPr/>
                  </pic:nvPicPr>
                  <pic:blipFill>
                    <a:blip r:embed="rId18"/>
                    <a:stretch>
                      <a:fillRect/>
                    </a:stretch>
                  </pic:blipFill>
                  <pic:spPr>
                    <a:xfrm>
                      <a:off x="0" y="0"/>
                      <a:ext cx="8585709" cy="5577839"/>
                    </a:xfrm>
                    <a:prstGeom prst="rect"/>
                  </pic:spPr>
                </pic:pic>
              </a:graphicData>
            </a:graphic>
          </wp:inline>
        </w:drawing>
      </w:r>
    </w:p>
    <w:p>
      <w:pPr>
        <w:pStyle w:val="Caption"/>
        <w:keepNext w:val="0"/>
      </w:pPr>
      <w:r>
        <w:t>Screenshot 7  Rejection appears as its own notification while the earlier approval remains in the history.</w:t>
      </w:r>
    </w:p>
    <w:p>
      <w:r>
        <w:br w:type="page"/>
      </w:r>
    </w:p>
    <w:p>
      <w:pPr>
        <w:pStyle w:val="Heading1"/>
      </w:pPr>
      <w:r>
        <w:t>Suspended registration notification evidence</w:t>
      </w:r>
    </w:p>
    <w:p>
      <w:pPr>
        <w:spacing w:after="60"/>
        <w:jc w:val="center"/>
      </w:pPr>
      <w:r>
        <w:drawing>
          <wp:inline xmlns:a="http://schemas.openxmlformats.org/drawingml/2006/main" xmlns:pic="http://schemas.openxmlformats.org/drawingml/2006/picture">
            <wp:extent cx="9235440" cy="4324286"/>
            <wp:docPr id="9" name="Picture 9" descr="Screenshot 8 part 1  The suspension decision and earlier status history remain available in the personal inbox."/>
            <wp:cNvGraphicFramePr>
              <a:graphicFrameLocks noChangeAspect="1"/>
            </wp:cNvGraphicFramePr>
            <a:graphic>
              <a:graphicData uri="http://schemas.openxmlformats.org/drawingml/2006/picture">
                <pic:pic>
                  <pic:nvPicPr>
                    <pic:cNvPr id="0" name="suspension-part-1.png"/>
                    <pic:cNvPicPr/>
                  </pic:nvPicPr>
                  <pic:blipFill>
                    <a:blip r:embed="rId19"/>
                    <a:stretch>
                      <a:fillRect/>
                    </a:stretch>
                  </pic:blipFill>
                  <pic:spPr>
                    <a:xfrm>
                      <a:off x="0" y="0"/>
                      <a:ext cx="9235440" cy="4324286"/>
                    </a:xfrm>
                    <a:prstGeom prst="rect"/>
                  </pic:spPr>
                </pic:pic>
              </a:graphicData>
            </a:graphic>
          </wp:inline>
        </w:drawing>
      </w:r>
    </w:p>
    <w:p>
      <w:pPr>
        <w:pStyle w:val="Caption"/>
        <w:keepNext w:val="0"/>
      </w:pPr>
      <w:r>
        <w:t>Screenshot 8 part 1  The suspension decision and earlier status history remain available in the personal inbox.</w:t>
      </w:r>
    </w:p>
    <w:p>
      <w:r>
        <w:br w:type="page"/>
      </w:r>
    </w:p>
    <w:p>
      <w:pPr>
        <w:pStyle w:val="Heading1"/>
      </w:pPr>
      <w:r>
        <w:t>Suspended registration history evidence</w:t>
      </w:r>
    </w:p>
    <w:p>
      <w:pPr>
        <w:spacing w:after="60"/>
        <w:jc w:val="center"/>
      </w:pPr>
      <w:r>
        <w:drawing>
          <wp:inline xmlns:a="http://schemas.openxmlformats.org/drawingml/2006/main" xmlns:pic="http://schemas.openxmlformats.org/drawingml/2006/picture">
            <wp:extent cx="9235440" cy="2849396"/>
            <wp:docPr id="10" name="Picture 10" descr="Screenshot 8 part 2  The suspension decision and earlier status history remain available in the personal inbox."/>
            <wp:cNvGraphicFramePr>
              <a:graphicFrameLocks noChangeAspect="1"/>
            </wp:cNvGraphicFramePr>
            <a:graphic>
              <a:graphicData uri="http://schemas.openxmlformats.org/drawingml/2006/picture">
                <pic:pic>
                  <pic:nvPicPr>
                    <pic:cNvPr id="0" name="suspension-part-2.png"/>
                    <pic:cNvPicPr/>
                  </pic:nvPicPr>
                  <pic:blipFill>
                    <a:blip r:embed="rId20"/>
                    <a:stretch>
                      <a:fillRect/>
                    </a:stretch>
                  </pic:blipFill>
                  <pic:spPr>
                    <a:xfrm>
                      <a:off x="0" y="0"/>
                      <a:ext cx="9235440" cy="2849396"/>
                    </a:xfrm>
                    <a:prstGeom prst="rect"/>
                  </pic:spPr>
                </pic:pic>
              </a:graphicData>
            </a:graphic>
          </wp:inline>
        </w:drawing>
      </w:r>
    </w:p>
    <w:p>
      <w:pPr>
        <w:pStyle w:val="Caption"/>
        <w:keepNext w:val="0"/>
      </w:pPr>
      <w:r>
        <w:t>Screenshot 8 part 2  The suspension decision and earlier status history remain available in the personal inbox.</w:t>
      </w:r>
    </w:p>
    <w:p>
      <w:pPr>
        <w:sectPr>
          <w:pgSz w:w="16834" w:h="11909" w:orient="landscape"/>
          <w:pgMar w:top="792" w:right="936" w:bottom="792" w:left="936" w:header="360" w:footer="360" w:gutter="0"/>
          <w:cols w:space="720"/>
          <w:docGrid w:linePitch="360"/>
        </w:sectPr>
      </w:pPr>
    </w:p>
    <w:p>
      <w:pPr>
        <w:pStyle w:val="Heading1"/>
      </w:pPr>
      <w:r>
        <w:t>Mobile notification menu evidence</w:t>
      </w:r>
    </w:p>
    <w:p>
      <w:pPr>
        <w:spacing w:after="60"/>
        <w:jc w:val="center"/>
      </w:pPr>
      <w:r>
        <w:drawing>
          <wp:inline xmlns:a="http://schemas.openxmlformats.org/drawingml/2006/main" xmlns:pic="http://schemas.openxmlformats.org/drawingml/2006/picture">
            <wp:extent cx="3291840" cy="7081676"/>
            <wp:docPr id="11" name="Picture 11" descr="Screenshot 9  The mobile menu shows unread decisions and stays within the viewport."/>
            <wp:cNvGraphicFramePr>
              <a:graphicFrameLocks noChangeAspect="1"/>
            </wp:cNvGraphicFramePr>
            <a:graphic>
              <a:graphicData uri="http://schemas.openxmlformats.org/drawingml/2006/picture">
                <pic:pic>
                  <pic:nvPicPr>
                    <pic:cNvPr id="0" name="09-mobile-billing-notifications.png"/>
                    <pic:cNvPicPr/>
                  </pic:nvPicPr>
                  <pic:blipFill>
                    <a:blip r:embed="rId21"/>
                    <a:stretch>
                      <a:fillRect/>
                    </a:stretch>
                  </pic:blipFill>
                  <pic:spPr>
                    <a:xfrm>
                      <a:off x="0" y="0"/>
                      <a:ext cx="3291840" cy="7081676"/>
                    </a:xfrm>
                    <a:prstGeom prst="rect"/>
                  </pic:spPr>
                </pic:pic>
              </a:graphicData>
            </a:graphic>
          </wp:inline>
        </w:drawing>
      </w:r>
    </w:p>
    <w:p>
      <w:pPr>
        <w:pStyle w:val="Caption"/>
        <w:keepNext w:val="0"/>
      </w:pPr>
      <w:r>
        <w:t>Screenshot 9  The mobile menu shows unread decisions and stays within the viewport.</w:t>
      </w:r>
    </w:p>
    <w:p>
      <w:r>
        <w:rPr>
          <w:sz w:val="19"/>
        </w:rPr>
        <w:t>All captured agency and account details are disposable fictional test data. The nine source screenshots remain in the screenshots folder. Two long captures are shown in cropped continuations without changing their contents.</w:t>
      </w:r>
    </w:p>
    <w:sectPr w:rsidR="00FC693F" w:rsidRPr="0006063C" w:rsidSect="00034616">
      <w:pgSz w:w="12240" w:h="15840"/>
      <w:pgMar w:top="1008" w:right="1080" w:bottom="1008" w:left="108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27 October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7"/>
      </w:rPr>
      <w:t>CareSys Register and Agency Test Status 27 October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4" w:lineRule="auto" w:after="140"/>
    </w:pPr>
    <w:rPr>
      <w:rFonts w:ascii="Calibri" w:hAnsi="Calibri"/>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line="254" w:lineRule="auto"/>
      <w:outlineLvl w:val="0"/>
    </w:pPr>
    <w:rPr>
      <w:rFonts w:asciiTheme="majorHAnsi" w:eastAsiaTheme="majorEastAsia" w:hAnsiTheme="majorHAnsi" w:cstheme="majorBidi" w:ascii="Calibri" w:hAnsi="Calibri"/>
      <w:b/>
      <w:bCs/>
      <w:color w:val="000000"/>
      <w:sz w:val="34"/>
      <w:szCs w:val="28"/>
      <w:u w:val="none"/>
    </w:rPr>
  </w:style>
  <w:style w:type="paragraph" w:styleId="Heading2">
    <w:name w:val="heading 2"/>
    <w:basedOn w:val="Normal"/>
    <w:next w:val="Normal"/>
    <w:link w:val="Heading2Char"/>
    <w:uiPriority w:val="9"/>
    <w:unhideWhenUsed/>
    <w:qFormat/>
    <w:rsid w:val="00FC693F"/>
    <w:pPr>
      <w:keepNext/>
      <w:keepLines/>
      <w:spacing w:before="160" w:after="120" w:line="254" w:lineRule="auto"/>
      <w:outlineLvl w:val="1"/>
    </w:pPr>
    <w:rPr>
      <w:rFonts w:asciiTheme="majorHAnsi" w:eastAsiaTheme="majorEastAsia" w:hAnsiTheme="majorHAnsi" w:cstheme="majorBidi" w:ascii="Calibri" w:hAnsi="Calibri"/>
      <w:b/>
      <w:bCs/>
      <w:color w:val="000000"/>
      <w:sz w:val="26"/>
      <w:szCs w:val="26"/>
      <w:u w:val="none"/>
    </w:rPr>
  </w:style>
  <w:style w:type="paragraph" w:styleId="Heading3">
    <w:name w:val="heading 3"/>
    <w:basedOn w:val="Normal"/>
    <w:next w:val="Normal"/>
    <w:link w:val="Heading3Char"/>
    <w:uiPriority w:val="9"/>
    <w:unhideWhenUsed/>
    <w:qFormat/>
    <w:rsid w:val="00FC693F"/>
    <w:pPr>
      <w:keepNext/>
      <w:keepLines/>
      <w:spacing w:before="160" w:after="120" w:line="254" w:lineRule="auto"/>
      <w:outlineLvl w:val="2"/>
    </w:pPr>
    <w:rPr>
      <w:rFonts w:asciiTheme="majorHAnsi" w:eastAsiaTheme="majorEastAsia" w:hAnsiTheme="majorHAnsi" w:cstheme="majorBidi" w:ascii="Calibri" w:hAnsi="Calibri"/>
      <w:b/>
      <w:bCs/>
      <w:color w:val="000000"/>
      <w:sz w:val="22"/>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4" w:lineRule="auto" w:before="0"/>
      <w:contextualSpacing/>
    </w:pPr>
    <w:rPr>
      <w:rFonts w:asciiTheme="majorHAnsi" w:eastAsiaTheme="majorEastAsia" w:hAnsiTheme="majorHAnsi" w:cstheme="majorBidi" w:ascii="Calibri" w:hAnsi="Calibri"/>
      <w:b/>
      <w:color w:val="000000"/>
      <w:spacing w:val="5"/>
      <w:kern w:val="28"/>
      <w:sz w:val="4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54" w:lineRule="auto" w:before="160" w:after="120"/>
    </w:pPr>
    <w:rPr>
      <w:rFonts w:asciiTheme="majorHAnsi" w:eastAsiaTheme="majorEastAsia" w:hAnsiTheme="majorHAnsi" w:cstheme="majorBidi" w:ascii="Calibri" w:hAnsi="Calibri"/>
      <w:b w:val="0"/>
      <w:i/>
      <w:iCs/>
      <w:color w:val="000000"/>
      <w:spacing w:val="15"/>
      <w:sz w:val="24"/>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4" w:lineRule="auto" w:before="0" w:after="120"/>
    </w:pPr>
    <w:rPr>
      <w:rFonts w:ascii="Calibri" w:hAnsi="Calibri"/>
      <w:b w:val="0"/>
      <w:bCs/>
      <w:color w:val="000000"/>
      <w:sz w:val="19"/>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CareSys Register and Agency Test Status 27 October 2026</dc:title>
  <dc:subject>Registration notifications platform approval testing and screenshot evidence</dc:subject>
  <dc:creator>CareSys</dc:creator>
  <cp:keywords/>
  <dc:description>generated by python-docx</dc:description>
  <cp:lastModifiedBy/>
  <cp:revision>1</cp:revision>
  <dcterms:created xsi:type="dcterms:W3CDTF">2026-10-27T12:00:00Z</dcterms:created>
  <dcterms:modified xsi:type="dcterms:W3CDTF">2013-12-23T23:15:00Z</dcterms:modified>
  <cp:category/>
</cp:coreProperties>
</file>