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01/2026/QĐ-VSF-HC-01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ĐỊNH</w:t>
      </w:r>
    </w:p>
    <w:p>
      <w:pPr>
        <w:spacing w:after="200" w:before="0" w:line="269" w:lineRule="auto"/>
        <w:jc w:val="center"/>
      </w:pPr>
      <w:r>
        <w:rPr>
          <w:rFonts w:ascii="Times New Roman" w:hAnsi="Times New Roman" w:eastAsia="Times New Roman"/>
          <w:b/>
          <w:i w:val="0"/>
          <w:sz w:val="36"/>
        </w:rPr>
        <w:t>QUY ĐỊNH PHÒNG CHÁY CHỮA CHÁY, THOÁT HIỂM VÀ KIỂM SOÁT NGUỒN NHIỆT</w:t>
      </w:r>
    </w:p>
    <w:p>
      <w:pPr>
        <w:spacing w:after="100" w:before="0" w:line="269" w:lineRule="auto"/>
        <w:jc w:val="center"/>
      </w:pPr>
      <w:r>
        <w:rPr>
          <w:rFonts w:ascii="Times New Roman" w:hAnsi="Times New Roman" w:eastAsia="Times New Roman"/>
          <w:b w:val="0"/>
          <w:i/>
          <w:sz w:val="24"/>
        </w:rPr>
        <w:t>(Ban hành kèm theo Quyết định số 01/2026/QĐ-VSF-HC-01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VSF-HC-01-V2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Hành chính - Cơ sở vật chất</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01/2026/QĐ-VSF-HC-01</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định quy định phòng cháy chữa cháy, thoát hiểm và kiểm soát nguồn nhiệt</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định “Quy định phòng cháy chữa cháy, thoát hiểm và kiểm soát nguồn nhiệt”.</w:t>
      </w:r>
    </w:p>
    <w:p>
      <w:pPr>
        <w:spacing w:after="100" w:before="0" w:line="269" w:lineRule="auto"/>
      </w:pPr>
      <w:r>
        <w:rPr>
          <w:rFonts w:ascii="Times New Roman" w:hAnsi="Times New Roman" w:eastAsia="Times New Roman"/>
          <w:b w:val="0"/>
          <w:i w:val="0"/>
          <w:sz w:val="24"/>
        </w:rPr>
        <w:t>Điều 2. Phòng Hành chính - Cơ sở vật chất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Pccc, Thoát Hiểm Và Kiểm Soát Nguồn Nhiệt</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PCCC, thoát hiểm, bình chữa cháy, diễn tập và kiểm soát nguồn nhiệt.</w:t>
      </w:r>
    </w:p>
    <w:p>
      <w:pPr>
        <w:spacing w:after="80" w:before="0" w:line="269" w:lineRule="auto"/>
        <w:ind w:firstLine="283"/>
      </w:pPr>
      <w:r>
        <w:rPr>
          <w:rFonts w:ascii="Times New Roman" w:hAnsi="Times New Roman" w:eastAsia="Times New Roman"/>
          <w:b w:val="0"/>
          <w:i w:val="0"/>
          <w:sz w:val="24"/>
        </w:rPr>
        <w:t>2. Nội dung chỉ áp dụng trong phạm vi PCCC, thoát hiểm, bình chữa cháy, diễn tập và kiểm soát nguồn nhiệt;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Hành chính - Cơ sở vật chất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PCCC, THOÁT HIỂM VÀ KIỂM SOÁT NGUỒN NHIỆT</w:t>
      </w:r>
    </w:p>
    <w:p>
      <w:pPr>
        <w:spacing w:after="100" w:before="80" w:line="269" w:lineRule="auto"/>
      </w:pPr>
      <w:r>
        <w:rPr>
          <w:rFonts w:ascii="Times New Roman" w:hAnsi="Times New Roman" w:eastAsia="Times New Roman"/>
          <w:b/>
          <w:i w:val="0"/>
          <w:sz w:val="26"/>
        </w:rPr>
        <w:t>Điều 5. Sơ đồ thoát hiểm, điểm tập kết và phân công theo tầng/phòng</w:t>
      </w:r>
    </w:p>
    <w:p>
      <w:pPr>
        <w:spacing w:after="80" w:before="0" w:line="269" w:lineRule="auto"/>
        <w:ind w:firstLine="283"/>
      </w:pPr>
      <w:r>
        <w:rPr>
          <w:rFonts w:ascii="Times New Roman" w:hAnsi="Times New Roman" w:eastAsia="Times New Roman"/>
          <w:b w:val="0"/>
          <w:i w:val="0"/>
          <w:sz w:val="24"/>
        </w:rPr>
        <w:t>1. Mỗi tầng, phòng họp từ 10 người trở lên, pantry, kho vật tư và phòng máy chủ phải niêm yết sơ đồ thoát hiểm tại vị trí dễ nhìn, cao từ 1,4m đến 1,7m so với mặt sàn.</w:t>
      </w:r>
    </w:p>
    <w:p>
      <w:pPr>
        <w:spacing w:after="80" w:before="0" w:line="269" w:lineRule="auto"/>
        <w:ind w:firstLine="283"/>
      </w:pPr>
      <w:r>
        <w:rPr>
          <w:rFonts w:ascii="Times New Roman" w:hAnsi="Times New Roman" w:eastAsia="Times New Roman"/>
          <w:b w:val="0"/>
          <w:i w:val="0"/>
          <w:sz w:val="24"/>
        </w:rPr>
        <w:t>2. Lối thoát hiểm, cửa chống cháy, cầu thang bộ, tủ PCCC và bảng tiêu lệnh không được đặt vật cản trong phạm vi 1,2m.</w:t>
      </w:r>
    </w:p>
    <w:p>
      <w:pPr>
        <w:spacing w:after="80" w:before="0" w:line="269" w:lineRule="auto"/>
        <w:ind w:firstLine="283"/>
      </w:pPr>
      <w:r>
        <w:rPr>
          <w:rFonts w:ascii="Times New Roman" w:hAnsi="Times New Roman" w:eastAsia="Times New Roman"/>
          <w:b w:val="0"/>
          <w:i w:val="0"/>
          <w:sz w:val="24"/>
        </w:rPr>
        <w:t>3. Điểm tập kết chính của trụ sở là sân phía Đông tòa nhà; điểm tập kết dự phòng là bãi xe tầng 1 khu B khi điểm chính không an toàn.</w:t>
      </w:r>
    </w:p>
    <w:p>
      <w:pPr>
        <w:spacing w:after="80" w:before="0" w:line="269" w:lineRule="auto"/>
        <w:ind w:firstLine="283"/>
      </w:pPr>
      <w:r>
        <w:rPr>
          <w:rFonts w:ascii="Times New Roman" w:hAnsi="Times New Roman" w:eastAsia="Times New Roman"/>
          <w:b w:val="0"/>
          <w:i w:val="0"/>
          <w:sz w:val="24"/>
        </w:rPr>
        <w:t>4. Mỗi tầng có tối thiểu 02 thành viên đội PCCC cơ sở; danh sách trực được cập nhật hằng quý và khi có thay đổi nhân sự.</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Vị trí</w:t>
            </w:r>
          </w:p>
        </w:tc>
        <w:tc>
          <w:tcPr>
            <w:tcW w:type="dxa" w:w="3305"/>
            <w:vAlign w:val="center"/>
          </w:tcPr>
          <w:p>
            <w:pPr>
              <w:spacing w:after="0" w:line="240" w:lineRule="auto"/>
              <w:jc w:val="center"/>
            </w:pPr>
            <w:r/>
            <w:r>
              <w:rPr>
                <w:rFonts w:ascii="Times New Roman" w:hAnsi="Times New Roman" w:eastAsia="Times New Roman"/>
                <w:b/>
                <w:i w:val="0"/>
                <w:sz w:val="18"/>
              </w:rPr>
              <w:t>Yêu cầu tối thiểu</w:t>
            </w:r>
          </w:p>
        </w:tc>
        <w:tc>
          <w:tcPr>
            <w:tcW w:type="dxa" w:w="3305"/>
            <w:vAlign w:val="center"/>
          </w:tcPr>
          <w:p>
            <w:pPr>
              <w:spacing w:after="0" w:line="240" w:lineRule="auto"/>
              <w:jc w:val="center"/>
            </w:pPr>
            <w:r/>
            <w:r>
              <w:rPr>
                <w:rFonts w:ascii="Times New Roman" w:hAnsi="Times New Roman" w:eastAsia="Times New Roman"/>
                <w:b/>
                <w:i w:val="0"/>
                <w:sz w:val="18"/>
              </w:rPr>
              <w:t>Tần suất kiểm tra</w:t>
            </w:r>
          </w:p>
        </w:tc>
      </w:tr>
      <w:tr>
        <w:tc>
          <w:tcPr>
            <w:tcW w:type="dxa" w:w="3305"/>
            <w:vAlign w:val="center"/>
          </w:tcPr>
          <w:p>
            <w:pPr>
              <w:spacing w:after="0" w:line="240" w:lineRule="auto"/>
            </w:pPr>
            <w:r/>
            <w:r>
              <w:rPr>
                <w:rFonts w:ascii="Times New Roman" w:hAnsi="Times New Roman" w:eastAsia="Times New Roman"/>
                <w:b w:val="0"/>
                <w:i w:val="0"/>
                <w:sz w:val="18"/>
              </w:rPr>
              <w:t>Mỗi tầng văn phòng</w:t>
            </w:r>
          </w:p>
        </w:tc>
        <w:tc>
          <w:tcPr>
            <w:tcW w:type="dxa" w:w="3305"/>
            <w:vAlign w:val="center"/>
          </w:tcPr>
          <w:p>
            <w:pPr>
              <w:spacing w:after="0" w:line="240" w:lineRule="auto"/>
            </w:pPr>
            <w:r/>
            <w:r>
              <w:rPr>
                <w:rFonts w:ascii="Times New Roman" w:hAnsi="Times New Roman" w:eastAsia="Times New Roman"/>
                <w:b w:val="0"/>
                <w:i w:val="0"/>
                <w:sz w:val="18"/>
              </w:rPr>
              <w:t>02 bình CO2 hoặc bột, 01 sơ đồ thoát hiểm, 01 bảng tiêu lệnh</w:t>
            </w:r>
          </w:p>
        </w:tc>
        <w:tc>
          <w:tcPr>
            <w:tcW w:type="dxa" w:w="3305"/>
            <w:vAlign w:val="center"/>
          </w:tcPr>
          <w:p>
            <w:pPr>
              <w:spacing w:after="0" w:line="240" w:lineRule="auto"/>
            </w:pPr>
            <w:r/>
            <w:r>
              <w:rPr>
                <w:rFonts w:ascii="Times New Roman" w:hAnsi="Times New Roman" w:eastAsia="Times New Roman"/>
                <w:b w:val="0"/>
                <w:i w:val="0"/>
                <w:sz w:val="18"/>
              </w:rPr>
              <w:t>Hằng tháng</w:t>
            </w:r>
          </w:p>
        </w:tc>
      </w:tr>
      <w:tr>
        <w:tc>
          <w:tcPr>
            <w:tcW w:type="dxa" w:w="3305"/>
            <w:vAlign w:val="center"/>
          </w:tcPr>
          <w:p>
            <w:pPr>
              <w:spacing w:after="0" w:line="240" w:lineRule="auto"/>
            </w:pPr>
            <w:r/>
            <w:r>
              <w:rPr>
                <w:rFonts w:ascii="Times New Roman" w:hAnsi="Times New Roman" w:eastAsia="Times New Roman"/>
                <w:b w:val="0"/>
                <w:i w:val="0"/>
                <w:sz w:val="18"/>
              </w:rPr>
              <w:t>Phòng server/phòng điện</w:t>
            </w:r>
          </w:p>
        </w:tc>
        <w:tc>
          <w:tcPr>
            <w:tcW w:type="dxa" w:w="3305"/>
            <w:vAlign w:val="center"/>
          </w:tcPr>
          <w:p>
            <w:pPr>
              <w:spacing w:after="0" w:line="240" w:lineRule="auto"/>
            </w:pPr>
            <w:r/>
            <w:r>
              <w:rPr>
                <w:rFonts w:ascii="Times New Roman" w:hAnsi="Times New Roman" w:eastAsia="Times New Roman"/>
                <w:b w:val="0"/>
                <w:i w:val="0"/>
                <w:sz w:val="18"/>
              </w:rPr>
              <w:t>Bình CO2, cảnh báo nhiệt, cấm nước, nhật ký ra vào</w:t>
            </w:r>
          </w:p>
        </w:tc>
        <w:tc>
          <w:tcPr>
            <w:tcW w:type="dxa" w:w="3305"/>
            <w:vAlign w:val="center"/>
          </w:tcPr>
          <w:p>
            <w:pPr>
              <w:spacing w:after="0" w:line="240" w:lineRule="auto"/>
            </w:pPr>
            <w:r/>
            <w:r>
              <w:rPr>
                <w:rFonts w:ascii="Times New Roman" w:hAnsi="Times New Roman" w:eastAsia="Times New Roman"/>
                <w:b w:val="0"/>
                <w:i w:val="0"/>
                <w:sz w:val="18"/>
              </w:rPr>
              <w:t>Hằng tuần</w:t>
            </w:r>
          </w:p>
        </w:tc>
      </w:tr>
      <w:tr>
        <w:tc>
          <w:tcPr>
            <w:tcW w:type="dxa" w:w="3305"/>
            <w:vAlign w:val="center"/>
          </w:tcPr>
          <w:p>
            <w:pPr>
              <w:spacing w:after="0" w:line="240" w:lineRule="auto"/>
            </w:pPr>
            <w:r/>
            <w:r>
              <w:rPr>
                <w:rFonts w:ascii="Times New Roman" w:hAnsi="Times New Roman" w:eastAsia="Times New Roman"/>
                <w:b w:val="0"/>
                <w:i w:val="0"/>
                <w:sz w:val="18"/>
              </w:rPr>
              <w:t>Pantry/khu nguồn nhiệt</w:t>
            </w:r>
          </w:p>
        </w:tc>
        <w:tc>
          <w:tcPr>
            <w:tcW w:type="dxa" w:w="3305"/>
            <w:vAlign w:val="center"/>
          </w:tcPr>
          <w:p>
            <w:pPr>
              <w:spacing w:after="0" w:line="240" w:lineRule="auto"/>
            </w:pPr>
            <w:r/>
            <w:r>
              <w:rPr>
                <w:rFonts w:ascii="Times New Roman" w:hAnsi="Times New Roman" w:eastAsia="Times New Roman"/>
                <w:b w:val="0"/>
                <w:i w:val="0"/>
                <w:sz w:val="18"/>
              </w:rPr>
              <w:t>Biển cấm hút thuốc, thiết bị ngắt điện, hướng dẫn xử lý cháy dầu/mỡ</w:t>
            </w:r>
          </w:p>
        </w:tc>
        <w:tc>
          <w:tcPr>
            <w:tcW w:type="dxa" w:w="3305"/>
            <w:vAlign w:val="center"/>
          </w:tcPr>
          <w:p>
            <w:pPr>
              <w:spacing w:after="0" w:line="240" w:lineRule="auto"/>
            </w:pPr>
            <w:r/>
            <w:r>
              <w:rPr>
                <w:rFonts w:ascii="Times New Roman" w:hAnsi="Times New Roman" w:eastAsia="Times New Roman"/>
                <w:b w:val="0"/>
                <w:i w:val="0"/>
                <w:sz w:val="18"/>
              </w:rPr>
              <w:t>Hằng tuần</w:t>
            </w:r>
          </w:p>
        </w:tc>
      </w:tr>
      <w:tr>
        <w:tc>
          <w:tcPr>
            <w:tcW w:type="dxa" w:w="3305"/>
            <w:vAlign w:val="center"/>
          </w:tcPr>
          <w:p>
            <w:pPr>
              <w:spacing w:after="0" w:line="240" w:lineRule="auto"/>
            </w:pPr>
            <w:r/>
            <w:r>
              <w:rPr>
                <w:rFonts w:ascii="Times New Roman" w:hAnsi="Times New Roman" w:eastAsia="Times New Roman"/>
                <w:b w:val="0"/>
                <w:i w:val="0"/>
                <w:sz w:val="18"/>
              </w:rPr>
              <w:t>Kho vật tư</w:t>
            </w:r>
          </w:p>
        </w:tc>
        <w:tc>
          <w:tcPr>
            <w:tcW w:type="dxa" w:w="3305"/>
            <w:vAlign w:val="center"/>
          </w:tcPr>
          <w:p>
            <w:pPr>
              <w:spacing w:after="0" w:line="240" w:lineRule="auto"/>
            </w:pPr>
            <w:r/>
            <w:r>
              <w:rPr>
                <w:rFonts w:ascii="Times New Roman" w:hAnsi="Times New Roman" w:eastAsia="Times New Roman"/>
                <w:b w:val="0"/>
                <w:i w:val="0"/>
                <w:sz w:val="18"/>
              </w:rPr>
              <w:t>Lối đi tối thiểu 1,2m, hàng cách trần tối thiểu 0,5m</w:t>
            </w:r>
          </w:p>
        </w:tc>
        <w:tc>
          <w:tcPr>
            <w:tcW w:type="dxa" w:w="3305"/>
            <w:vAlign w:val="center"/>
          </w:tcPr>
          <w:p>
            <w:pPr>
              <w:spacing w:after="0" w:line="240" w:lineRule="auto"/>
            </w:pPr>
            <w:r/>
            <w:r>
              <w:rPr>
                <w:rFonts w:ascii="Times New Roman" w:hAnsi="Times New Roman" w:eastAsia="Times New Roman"/>
                <w:b w:val="0"/>
                <w:i w:val="0"/>
                <w:sz w:val="18"/>
              </w:rPr>
              <w:t>Hằng tháng</w:t>
            </w:r>
          </w:p>
        </w:tc>
      </w:tr>
    </w:tbl>
    <w:p>
      <w:pPr>
        <w:spacing w:after="40" w:before="0" w:line="269" w:lineRule="auto"/>
      </w:pPr>
    </w:p>
    <w:p>
      <w:pPr>
        <w:spacing w:after="100" w:before="80" w:line="269" w:lineRule="auto"/>
      </w:pPr>
      <w:r>
        <w:rPr>
          <w:rFonts w:ascii="Times New Roman" w:hAnsi="Times New Roman" w:eastAsia="Times New Roman"/>
          <w:b/>
          <w:i w:val="0"/>
          <w:sz w:val="26"/>
        </w:rPr>
        <w:t>Điều 6. Quy trình báo cháy và thoát hiểm</w:t>
      </w:r>
    </w:p>
    <w:p>
      <w:pPr>
        <w:spacing w:after="80" w:before="0" w:line="269" w:lineRule="auto"/>
        <w:ind w:firstLine="283"/>
      </w:pPr>
      <w:r>
        <w:rPr>
          <w:rFonts w:ascii="Times New Roman" w:hAnsi="Times New Roman" w:eastAsia="Times New Roman"/>
          <w:b w:val="0"/>
          <w:i w:val="0"/>
          <w:sz w:val="24"/>
        </w:rPr>
        <w:t>1. Người phát hiện cháy, khói, mùi khét hoặc tia lửa bất thường phải hô hoán, bấm chuông báo cháy gần nhất và gọi bảo vệ trong vòng 01 phút.</w:t>
      </w:r>
    </w:p>
    <w:p>
      <w:pPr>
        <w:spacing w:after="80" w:before="0" w:line="269" w:lineRule="auto"/>
        <w:ind w:firstLine="283"/>
      </w:pPr>
      <w:r>
        <w:rPr>
          <w:rFonts w:ascii="Times New Roman" w:hAnsi="Times New Roman" w:eastAsia="Times New Roman"/>
          <w:b w:val="0"/>
          <w:i w:val="0"/>
          <w:sz w:val="24"/>
        </w:rPr>
        <w:t>2. Bảo vệ hoặc đội PCCC cơ sở xác minh trong vòng 03 phút; nếu có nguy cơ lan rộng phải gọi 114 và thông báo Ban chỉ huy PCCC Công ty ngay lập tức.</w:t>
      </w:r>
    </w:p>
    <w:p>
      <w:pPr>
        <w:spacing w:after="80" w:before="0" w:line="269" w:lineRule="auto"/>
        <w:ind w:firstLine="283"/>
      </w:pPr>
      <w:r>
        <w:rPr>
          <w:rFonts w:ascii="Times New Roman" w:hAnsi="Times New Roman" w:eastAsia="Times New Roman"/>
          <w:b w:val="0"/>
          <w:i w:val="0"/>
          <w:sz w:val="24"/>
        </w:rPr>
        <w:t>3. Người lao động thoát hiểm theo lối gần nhất, không sử dụng thang máy, không quay lại lấy tài sản cá nhân, hỗ trợ người bị thương, phụ nữ mang thai và khách.</w:t>
      </w:r>
    </w:p>
    <w:p>
      <w:pPr>
        <w:spacing w:after="80" w:before="0" w:line="269" w:lineRule="auto"/>
        <w:ind w:firstLine="283"/>
      </w:pPr>
      <w:r>
        <w:rPr>
          <w:rFonts w:ascii="Times New Roman" w:hAnsi="Times New Roman" w:eastAsia="Times New Roman"/>
          <w:b w:val="0"/>
          <w:i w:val="0"/>
          <w:sz w:val="24"/>
        </w:rPr>
        <w:t>4. Trưởng tầng điểm danh tại điểm tập kết trong vòng 10 phút sau khi sơ tán và báo số người còn thiếu cho chỉ huy hiện trường.</w:t>
      </w:r>
    </w:p>
    <w:p>
      <w:pPr>
        <w:spacing w:after="100" w:before="80" w:line="269" w:lineRule="auto"/>
      </w:pPr>
      <w:r>
        <w:rPr>
          <w:rFonts w:ascii="Times New Roman" w:hAnsi="Times New Roman" w:eastAsia="Times New Roman"/>
          <w:b/>
          <w:i w:val="0"/>
          <w:sz w:val="26"/>
        </w:rPr>
        <w:t>Điều 7. Bảo dưỡng bình cứu hỏa và hệ thống cảnh báo</w:t>
      </w:r>
    </w:p>
    <w:p>
      <w:pPr>
        <w:spacing w:after="80" w:before="0" w:line="269" w:lineRule="auto"/>
        <w:ind w:firstLine="283"/>
      </w:pPr>
      <w:r>
        <w:rPr>
          <w:rFonts w:ascii="Times New Roman" w:hAnsi="Times New Roman" w:eastAsia="Times New Roman"/>
          <w:b w:val="0"/>
          <w:i w:val="0"/>
          <w:sz w:val="24"/>
        </w:rPr>
        <w:t>1. Bình chữa cháy xách tay được kiểm tra niêm chì, áp suất, hạn sử dụng và vị trí đặt tối thiểu 01 lần/tháng.</w:t>
      </w:r>
    </w:p>
    <w:p>
      <w:pPr>
        <w:spacing w:after="80" w:before="0" w:line="269" w:lineRule="auto"/>
        <w:ind w:firstLine="283"/>
      </w:pPr>
      <w:r>
        <w:rPr>
          <w:rFonts w:ascii="Times New Roman" w:hAnsi="Times New Roman" w:eastAsia="Times New Roman"/>
          <w:b w:val="0"/>
          <w:i w:val="0"/>
          <w:sz w:val="24"/>
        </w:rPr>
        <w:t>2. Bảo dưỡng chuyên sâu thực hiện 06 tháng/lần đối với bình bột và 12 tháng/lần đối với bình CO2 hoặc theo khuyến nghị của nhà cung cấp.</w:t>
      </w:r>
    </w:p>
    <w:p>
      <w:pPr>
        <w:spacing w:after="80" w:before="0" w:line="269" w:lineRule="auto"/>
        <w:ind w:firstLine="283"/>
      </w:pPr>
      <w:r>
        <w:rPr>
          <w:rFonts w:ascii="Times New Roman" w:hAnsi="Times New Roman" w:eastAsia="Times New Roman"/>
          <w:b w:val="0"/>
          <w:i w:val="0"/>
          <w:sz w:val="24"/>
        </w:rPr>
        <w:t>3. Thiết bị báo cháy, đèn exit, đèn sự cố và bơm chữa cháy được kiểm tra vận hành tối thiểu 01 lần/quý.</w:t>
      </w:r>
    </w:p>
    <w:p>
      <w:pPr>
        <w:spacing w:after="80" w:before="0" w:line="269" w:lineRule="auto"/>
        <w:ind w:firstLine="283"/>
      </w:pPr>
      <w:r>
        <w:rPr>
          <w:rFonts w:ascii="Times New Roman" w:hAnsi="Times New Roman" w:eastAsia="Times New Roman"/>
          <w:b w:val="0"/>
          <w:i w:val="0"/>
          <w:sz w:val="24"/>
        </w:rPr>
        <w:t>4. Bình hết hạn, mất niêm chì, tụt áp hoặc đã sử dụng phải được thay thế trong vòng 24 giờ.</w:t>
      </w:r>
    </w:p>
    <w:p>
      <w:pPr>
        <w:spacing w:after="100" w:before="80" w:line="269" w:lineRule="auto"/>
      </w:pPr>
      <w:r>
        <w:rPr>
          <w:rFonts w:ascii="Times New Roman" w:hAnsi="Times New Roman" w:eastAsia="Times New Roman"/>
          <w:b/>
          <w:i w:val="0"/>
          <w:sz w:val="26"/>
        </w:rPr>
        <w:t>Điều 8. Kiểm soát hút thuốc và thiết bị sinh nhiệt</w:t>
      </w:r>
    </w:p>
    <w:p>
      <w:pPr>
        <w:spacing w:after="80" w:before="0" w:line="269" w:lineRule="auto"/>
        <w:ind w:firstLine="283"/>
      </w:pPr>
      <w:r>
        <w:rPr>
          <w:rFonts w:ascii="Times New Roman" w:hAnsi="Times New Roman" w:eastAsia="Times New Roman"/>
          <w:b w:val="0"/>
          <w:i w:val="0"/>
          <w:sz w:val="24"/>
        </w:rPr>
        <w:t>1. Cấm hút thuốc, đốt nhang, sử dụng bếp điện, máy sưởi, nến, thiết bị tạo nhiệt cá nhân trong văn phòng, kho, phòng họp, nhà vệ sinh và khu vực có vật liệu dễ cháy.</w:t>
      </w:r>
    </w:p>
    <w:p>
      <w:pPr>
        <w:spacing w:after="80" w:before="0" w:line="269" w:lineRule="auto"/>
        <w:ind w:firstLine="283"/>
      </w:pPr>
      <w:r>
        <w:rPr>
          <w:rFonts w:ascii="Times New Roman" w:hAnsi="Times New Roman" w:eastAsia="Times New Roman"/>
          <w:b w:val="0"/>
          <w:i w:val="0"/>
          <w:sz w:val="24"/>
        </w:rPr>
        <w:t>2. Công việc hàn, cắt, khoan sinh nhiệt, sửa điện hoặc thử tải thiết bị phải có Giấy phép công việc nóng và người giám sát tại chỗ.</w:t>
      </w:r>
    </w:p>
    <w:p>
      <w:pPr>
        <w:spacing w:after="80" w:before="0" w:line="269" w:lineRule="auto"/>
        <w:ind w:firstLine="283"/>
      </w:pPr>
      <w:r>
        <w:rPr>
          <w:rFonts w:ascii="Times New Roman" w:hAnsi="Times New Roman" w:eastAsia="Times New Roman"/>
          <w:b w:val="0"/>
          <w:i w:val="0"/>
          <w:sz w:val="24"/>
        </w:rPr>
        <w:t>3. Thiết bị sinh nhiệt được cấp phép phải rút điện sau khi sử dụng, đặt trên bề mặt chống cháy và cách vật dễ cháy tối thiểu 1m.</w:t>
      </w:r>
    </w:p>
    <w:p>
      <w:pPr>
        <w:spacing w:after="80" w:before="0" w:line="269" w:lineRule="auto"/>
        <w:ind w:firstLine="283"/>
      </w:pPr>
      <w:r>
        <w:rPr>
          <w:rFonts w:ascii="Times New Roman" w:hAnsi="Times New Roman" w:eastAsia="Times New Roman"/>
          <w:b w:val="0"/>
          <w:i w:val="0"/>
          <w:sz w:val="24"/>
        </w:rPr>
        <w:t>4. Phát hiện vi phạm nguồn nhiệt phải báo trong vòng 15 phút cho Hành chính - Cơ sở vật chất để cô lập rủi ro.</w:t>
      </w:r>
    </w:p>
    <w:p>
      <w:pPr>
        <w:spacing w:after="100" w:before="80" w:line="269" w:lineRule="auto"/>
      </w:pPr>
      <w:r>
        <w:rPr>
          <w:rFonts w:ascii="Times New Roman" w:hAnsi="Times New Roman" w:eastAsia="Times New Roman"/>
          <w:b/>
          <w:i w:val="0"/>
          <w:sz w:val="26"/>
        </w:rPr>
        <w:t>Điều 9. Diễn tập PCCC định kỳ</w:t>
      </w:r>
    </w:p>
    <w:p>
      <w:pPr>
        <w:spacing w:after="80" w:before="0" w:line="269" w:lineRule="auto"/>
        <w:ind w:firstLine="283"/>
      </w:pPr>
      <w:r>
        <w:rPr>
          <w:rFonts w:ascii="Times New Roman" w:hAnsi="Times New Roman" w:eastAsia="Times New Roman"/>
          <w:b w:val="0"/>
          <w:i w:val="0"/>
          <w:sz w:val="24"/>
        </w:rPr>
        <w:t>1. Công ty tổ chức diễn tập PCCC tối thiểu 02 lần/năm, trong đó ít nhất 01 lần có tình huống sơ tán toàn bộ tầng hoặc toàn bộ tòa nhà.</w:t>
      </w:r>
    </w:p>
    <w:p>
      <w:pPr>
        <w:spacing w:after="80" w:before="0" w:line="269" w:lineRule="auto"/>
        <w:ind w:firstLine="283"/>
      </w:pPr>
      <w:r>
        <w:rPr>
          <w:rFonts w:ascii="Times New Roman" w:hAnsi="Times New Roman" w:eastAsia="Times New Roman"/>
          <w:b w:val="0"/>
          <w:i w:val="0"/>
          <w:sz w:val="24"/>
        </w:rPr>
        <w:t>2. Người lao động phải tham gia đầy đủ; trường hợp vắng mặt phải học bù trực tuyến trong vòng 07 ngày làm việc.</w:t>
      </w:r>
    </w:p>
    <w:p>
      <w:pPr>
        <w:spacing w:after="80" w:before="0" w:line="269" w:lineRule="auto"/>
        <w:ind w:firstLine="283"/>
      </w:pPr>
      <w:r>
        <w:rPr>
          <w:rFonts w:ascii="Times New Roman" w:hAnsi="Times New Roman" w:eastAsia="Times New Roman"/>
          <w:b w:val="0"/>
          <w:i w:val="0"/>
          <w:sz w:val="24"/>
        </w:rPr>
        <w:t>3. Kết quả diễn tập được chấm theo thời gian sơ tán, tỷ lệ điểm danh, lỗi sử dụng thiết bị, lỗi di chuyển và mức độ phối hợp giữa các đội.</w:t>
      </w:r>
    </w:p>
    <w:p>
      <w:pPr>
        <w:spacing w:after="80" w:before="0" w:line="269" w:lineRule="auto"/>
        <w:ind w:firstLine="283"/>
      </w:pPr>
      <w:r>
        <w:rPr>
          <w:rFonts w:ascii="Times New Roman" w:hAnsi="Times New Roman" w:eastAsia="Times New Roman"/>
          <w:b w:val="0"/>
          <w:i w:val="0"/>
          <w:sz w:val="24"/>
        </w:rPr>
        <w:t>4. Phòng Hành chính lập biên bản diễn tập trong vòng 03 ngày làm việc và theo dõi khắc phục các điểm chưa đạt trong vòng 15 ngày.</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Hành chính - Cơ sở vật chất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Hút thuốc/sử dụng nguồn nhiệt sai nơi quy định</w:t>
            </w:r>
          </w:p>
        </w:tc>
        <w:tc>
          <w:tcPr>
            <w:tcW w:type="dxa" w:w="3305"/>
            <w:vAlign w:val="center"/>
          </w:tcPr>
          <w:p>
            <w:pPr>
              <w:spacing w:after="0" w:line="240" w:lineRule="auto"/>
            </w:pPr>
            <w:r/>
            <w:r>
              <w:rPr>
                <w:rFonts w:ascii="Times New Roman" w:hAnsi="Times New Roman" w:eastAsia="Times New Roman"/>
                <w:b w:val="0"/>
                <w:i w:val="0"/>
                <w:sz w:val="18"/>
              </w:rPr>
              <w:t>Bồi hoàn chi phí vệ sinh/khắc phục từ 300.000-1.000.000 đồng; tái phạm xem xét kỷ luật</w:t>
            </w:r>
          </w:p>
        </w:tc>
        <w:tc>
          <w:tcPr>
            <w:tcW w:type="dxa" w:w="3305"/>
            <w:vAlign w:val="center"/>
          </w:tcPr>
          <w:p>
            <w:pPr>
              <w:spacing w:after="0" w:line="240" w:lineRule="auto"/>
            </w:pPr>
            <w:r/>
            <w:r>
              <w:rPr>
                <w:rFonts w:ascii="Times New Roman" w:hAnsi="Times New Roman" w:eastAsia="Times New Roman"/>
                <w:b w:val="0"/>
                <w:i w:val="0"/>
                <w:sz w:val="18"/>
              </w:rPr>
              <w:t>24 giờ</w:t>
            </w:r>
          </w:p>
        </w:tc>
      </w:tr>
      <w:tr>
        <w:tc>
          <w:tcPr>
            <w:tcW w:type="dxa" w:w="3305"/>
            <w:vAlign w:val="center"/>
          </w:tcPr>
          <w:p>
            <w:pPr>
              <w:spacing w:after="0" w:line="240" w:lineRule="auto"/>
            </w:pPr>
            <w:r/>
            <w:r>
              <w:rPr>
                <w:rFonts w:ascii="Times New Roman" w:hAnsi="Times New Roman" w:eastAsia="Times New Roman"/>
                <w:b w:val="0"/>
                <w:i w:val="0"/>
                <w:sz w:val="18"/>
              </w:rPr>
              <w:t>Chặn lối thoát hiểm, đặt vật cản trước tủ PCCC</w:t>
            </w:r>
          </w:p>
        </w:tc>
        <w:tc>
          <w:tcPr>
            <w:tcW w:type="dxa" w:w="3305"/>
            <w:vAlign w:val="center"/>
          </w:tcPr>
          <w:p>
            <w:pPr>
              <w:spacing w:after="0" w:line="240" w:lineRule="auto"/>
            </w:pPr>
            <w:r/>
            <w:r>
              <w:rPr>
                <w:rFonts w:ascii="Times New Roman" w:hAnsi="Times New Roman" w:eastAsia="Times New Roman"/>
                <w:b w:val="0"/>
                <w:i w:val="0"/>
                <w:sz w:val="18"/>
              </w:rPr>
              <w:t>Nhắc nhở lần 1; tái phạm tính chi phí di dời tối thiểu 200.000 đồng/lần</w:t>
            </w:r>
          </w:p>
        </w:tc>
        <w:tc>
          <w:tcPr>
            <w:tcW w:type="dxa" w:w="3305"/>
            <w:vAlign w:val="center"/>
          </w:tcPr>
          <w:p>
            <w:pPr>
              <w:spacing w:after="0" w:line="240" w:lineRule="auto"/>
            </w:pPr>
            <w:r/>
            <w:r>
              <w:rPr>
                <w:rFonts w:ascii="Times New Roman" w:hAnsi="Times New Roman" w:eastAsia="Times New Roman"/>
                <w:b w:val="0"/>
                <w:i w:val="0"/>
                <w:sz w:val="18"/>
              </w:rPr>
              <w:t>Ngay lập tức</w:t>
            </w:r>
          </w:p>
        </w:tc>
      </w:tr>
      <w:tr>
        <w:tc>
          <w:tcPr>
            <w:tcW w:type="dxa" w:w="3305"/>
            <w:vAlign w:val="center"/>
          </w:tcPr>
          <w:p>
            <w:pPr>
              <w:spacing w:after="0" w:line="240" w:lineRule="auto"/>
            </w:pPr>
            <w:r/>
            <w:r>
              <w:rPr>
                <w:rFonts w:ascii="Times New Roman" w:hAnsi="Times New Roman" w:eastAsia="Times New Roman"/>
                <w:b w:val="0"/>
                <w:i w:val="0"/>
                <w:sz w:val="18"/>
              </w:rPr>
              <w:t>Không tham gia diễn tập không có lý do hợp lệ</w:t>
            </w:r>
          </w:p>
        </w:tc>
        <w:tc>
          <w:tcPr>
            <w:tcW w:type="dxa" w:w="3305"/>
            <w:vAlign w:val="center"/>
          </w:tcPr>
          <w:p>
            <w:pPr>
              <w:spacing w:after="0" w:line="240" w:lineRule="auto"/>
            </w:pPr>
            <w:r/>
            <w:r>
              <w:rPr>
                <w:rFonts w:ascii="Times New Roman" w:hAnsi="Times New Roman" w:eastAsia="Times New Roman"/>
                <w:b w:val="0"/>
                <w:i w:val="0"/>
                <w:sz w:val="18"/>
              </w:rPr>
              <w:t>Học bù bắt buộc; không xét thưởng tuân thủ tháng nếu vắng quá 02 lần/năm</w:t>
            </w:r>
          </w:p>
        </w:tc>
        <w:tc>
          <w:tcPr>
            <w:tcW w:type="dxa" w:w="3305"/>
            <w:vAlign w:val="center"/>
          </w:tcPr>
          <w:p>
            <w:pPr>
              <w:spacing w:after="0" w:line="240" w:lineRule="auto"/>
            </w:pPr>
            <w:r/>
            <w:r>
              <w:rPr>
                <w:rFonts w:ascii="Times New Roman" w:hAnsi="Times New Roman" w:eastAsia="Times New Roman"/>
                <w:b w:val="0"/>
                <w:i w:val="0"/>
                <w:sz w:val="18"/>
              </w:rPr>
              <w:t>07 ngày</w:t>
            </w:r>
          </w:p>
        </w:tc>
      </w:tr>
      <w:tr>
        <w:tc>
          <w:tcPr>
            <w:tcW w:type="dxa" w:w="3305"/>
            <w:vAlign w:val="center"/>
          </w:tcPr>
          <w:p>
            <w:pPr>
              <w:spacing w:after="0" w:line="240" w:lineRule="auto"/>
            </w:pPr>
            <w:r/>
            <w:r>
              <w:rPr>
                <w:rFonts w:ascii="Times New Roman" w:hAnsi="Times New Roman" w:eastAsia="Times New Roman"/>
                <w:b w:val="0"/>
                <w:i w:val="0"/>
                <w:sz w:val="18"/>
              </w:rPr>
              <w:t>Làm mất, tháo niêm chì, sử dụng bình sai mục đích</w:t>
            </w:r>
          </w:p>
        </w:tc>
        <w:tc>
          <w:tcPr>
            <w:tcW w:type="dxa" w:w="3305"/>
            <w:vAlign w:val="center"/>
          </w:tcPr>
          <w:p>
            <w:pPr>
              <w:spacing w:after="0" w:line="240" w:lineRule="auto"/>
            </w:pPr>
            <w:r/>
            <w:r>
              <w:rPr>
                <w:rFonts w:ascii="Times New Roman" w:hAnsi="Times New Roman" w:eastAsia="Times New Roman"/>
                <w:b w:val="0"/>
                <w:i w:val="0"/>
                <w:sz w:val="18"/>
              </w:rPr>
              <w:t>Bồi hoàn chi phí nạp/thay bình theo thực tế, tối thiểu 250.000 đồng/bình</w:t>
            </w:r>
          </w:p>
        </w:tc>
        <w:tc>
          <w:tcPr>
            <w:tcW w:type="dxa" w:w="3305"/>
            <w:vAlign w:val="center"/>
          </w:tcPr>
          <w:p>
            <w:pPr>
              <w:spacing w:after="0" w:line="240" w:lineRule="auto"/>
            </w:pPr>
            <w:r/>
            <w:r>
              <w:rPr>
                <w:rFonts w:ascii="Times New Roman" w:hAnsi="Times New Roman" w:eastAsia="Times New Roman"/>
                <w:b w:val="0"/>
                <w:i w:val="0"/>
                <w:sz w:val="18"/>
              </w:rPr>
              <w:t>03 ngày</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PCCC-01</w:t>
            </w:r>
          </w:p>
        </w:tc>
        <w:tc>
          <w:tcPr>
            <w:tcW w:type="dxa" w:w="3305"/>
            <w:vAlign w:val="center"/>
          </w:tcPr>
          <w:p>
            <w:pPr>
              <w:spacing w:after="0" w:line="240" w:lineRule="auto"/>
            </w:pPr>
            <w:r/>
            <w:r>
              <w:rPr>
                <w:rFonts w:ascii="Times New Roman" w:hAnsi="Times New Roman" w:eastAsia="Times New Roman"/>
                <w:b w:val="0"/>
                <w:i w:val="0"/>
                <w:sz w:val="18"/>
              </w:rPr>
              <w:t>Checklist kiểm tra bình chữa cháy theo tầng/phòng</w:t>
            </w:r>
          </w:p>
        </w:tc>
        <w:tc>
          <w:tcPr>
            <w:tcW w:type="dxa" w:w="3305"/>
            <w:vAlign w:val="center"/>
          </w:tcPr>
          <w:p>
            <w:pPr>
              <w:spacing w:after="0" w:line="240" w:lineRule="auto"/>
            </w:pPr>
            <w:r/>
            <w:r>
              <w:rPr>
                <w:rFonts w:ascii="Times New Roman" w:hAnsi="Times New Roman" w:eastAsia="Times New Roman"/>
                <w:b w:val="0"/>
                <w:i w:val="0"/>
                <w:sz w:val="18"/>
              </w:rPr>
              <w:t>Ngày 01-05 hằng tháng</w:t>
            </w:r>
          </w:p>
        </w:tc>
      </w:tr>
      <w:tr>
        <w:tc>
          <w:tcPr>
            <w:tcW w:type="dxa" w:w="3305"/>
            <w:vAlign w:val="center"/>
          </w:tcPr>
          <w:p>
            <w:pPr>
              <w:spacing w:after="0" w:line="240" w:lineRule="auto"/>
            </w:pPr>
            <w:r/>
            <w:r>
              <w:rPr>
                <w:rFonts w:ascii="Times New Roman" w:hAnsi="Times New Roman" w:eastAsia="Times New Roman"/>
                <w:b w:val="0"/>
                <w:i w:val="0"/>
                <w:sz w:val="18"/>
              </w:rPr>
              <w:t>PCCC-02</w:t>
            </w:r>
          </w:p>
        </w:tc>
        <w:tc>
          <w:tcPr>
            <w:tcW w:type="dxa" w:w="3305"/>
            <w:vAlign w:val="center"/>
          </w:tcPr>
          <w:p>
            <w:pPr>
              <w:spacing w:after="0" w:line="240" w:lineRule="auto"/>
            </w:pPr>
            <w:r/>
            <w:r>
              <w:rPr>
                <w:rFonts w:ascii="Times New Roman" w:hAnsi="Times New Roman" w:eastAsia="Times New Roman"/>
                <w:b w:val="0"/>
                <w:i w:val="0"/>
                <w:sz w:val="18"/>
              </w:rPr>
              <w:t>Giấy phép công việc nóng</w:t>
            </w:r>
          </w:p>
        </w:tc>
        <w:tc>
          <w:tcPr>
            <w:tcW w:type="dxa" w:w="3305"/>
            <w:vAlign w:val="center"/>
          </w:tcPr>
          <w:p>
            <w:pPr>
              <w:spacing w:after="0" w:line="240" w:lineRule="auto"/>
            </w:pPr>
            <w:r/>
            <w:r>
              <w:rPr>
                <w:rFonts w:ascii="Times New Roman" w:hAnsi="Times New Roman" w:eastAsia="Times New Roman"/>
                <w:b w:val="0"/>
                <w:i w:val="0"/>
                <w:sz w:val="18"/>
              </w:rPr>
              <w:t>Trước khi hàn/cắt/sửa điện</w:t>
            </w:r>
          </w:p>
        </w:tc>
      </w:tr>
      <w:tr>
        <w:tc>
          <w:tcPr>
            <w:tcW w:type="dxa" w:w="3305"/>
            <w:vAlign w:val="center"/>
          </w:tcPr>
          <w:p>
            <w:pPr>
              <w:spacing w:after="0" w:line="240" w:lineRule="auto"/>
            </w:pPr>
            <w:r/>
            <w:r>
              <w:rPr>
                <w:rFonts w:ascii="Times New Roman" w:hAnsi="Times New Roman" w:eastAsia="Times New Roman"/>
                <w:b w:val="0"/>
                <w:i w:val="0"/>
                <w:sz w:val="18"/>
              </w:rPr>
              <w:t>PCCC-03</w:t>
            </w:r>
          </w:p>
        </w:tc>
        <w:tc>
          <w:tcPr>
            <w:tcW w:type="dxa" w:w="3305"/>
            <w:vAlign w:val="center"/>
          </w:tcPr>
          <w:p>
            <w:pPr>
              <w:spacing w:after="0" w:line="240" w:lineRule="auto"/>
            </w:pPr>
            <w:r/>
            <w:r>
              <w:rPr>
                <w:rFonts w:ascii="Times New Roman" w:hAnsi="Times New Roman" w:eastAsia="Times New Roman"/>
                <w:b w:val="0"/>
                <w:i w:val="0"/>
                <w:sz w:val="18"/>
              </w:rPr>
              <w:t>Biên bản diễn tập PCCC</w:t>
            </w:r>
          </w:p>
        </w:tc>
        <w:tc>
          <w:tcPr>
            <w:tcW w:type="dxa" w:w="3305"/>
            <w:vAlign w:val="center"/>
          </w:tcPr>
          <w:p>
            <w:pPr>
              <w:spacing w:after="0" w:line="240" w:lineRule="auto"/>
            </w:pPr>
            <w:r/>
            <w:r>
              <w:rPr>
                <w:rFonts w:ascii="Times New Roman" w:hAnsi="Times New Roman" w:eastAsia="Times New Roman"/>
                <w:b w:val="0"/>
                <w:i w:val="0"/>
                <w:sz w:val="18"/>
              </w:rPr>
              <w:t>Sau mỗi buổi diễn tập</w:t>
            </w:r>
          </w:p>
        </w:tc>
      </w:tr>
      <w:tr>
        <w:tc>
          <w:tcPr>
            <w:tcW w:type="dxa" w:w="3305"/>
            <w:vAlign w:val="center"/>
          </w:tcPr>
          <w:p>
            <w:pPr>
              <w:spacing w:after="0" w:line="240" w:lineRule="auto"/>
            </w:pPr>
            <w:r/>
            <w:r>
              <w:rPr>
                <w:rFonts w:ascii="Times New Roman" w:hAnsi="Times New Roman" w:eastAsia="Times New Roman"/>
                <w:b w:val="0"/>
                <w:i w:val="0"/>
                <w:sz w:val="18"/>
              </w:rPr>
              <w:t>PCCC-04</w:t>
            </w:r>
          </w:p>
        </w:tc>
        <w:tc>
          <w:tcPr>
            <w:tcW w:type="dxa" w:w="3305"/>
            <w:vAlign w:val="center"/>
          </w:tcPr>
          <w:p>
            <w:pPr>
              <w:spacing w:after="0" w:line="240" w:lineRule="auto"/>
            </w:pPr>
            <w:r/>
            <w:r>
              <w:rPr>
                <w:rFonts w:ascii="Times New Roman" w:hAnsi="Times New Roman" w:eastAsia="Times New Roman"/>
                <w:b w:val="0"/>
                <w:i w:val="0"/>
                <w:sz w:val="18"/>
              </w:rPr>
              <w:t>Biên bản vi phạm nguồn nhiệt</w:t>
            </w:r>
          </w:p>
        </w:tc>
        <w:tc>
          <w:tcPr>
            <w:tcW w:type="dxa" w:w="3305"/>
            <w:vAlign w:val="center"/>
          </w:tcPr>
          <w:p>
            <w:pPr>
              <w:spacing w:after="0" w:line="240" w:lineRule="auto"/>
            </w:pPr>
            <w:r/>
            <w:r>
              <w:rPr>
                <w:rFonts w:ascii="Times New Roman" w:hAnsi="Times New Roman" w:eastAsia="Times New Roman"/>
                <w:b w:val="0"/>
                <w:i w:val="0"/>
                <w:sz w:val="18"/>
              </w:rPr>
              <w:t>Ngay khi phát hiện vi phạm</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PCCC, thoát hiểm, bình chữa cháy, diễn tập và kiểm soát nguồn nhiệt. Các thời hạn dưới đây là căn cứ để người lao động, quản lý trực tiếp và Phòng Hành chính - Cơ sở vật chất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Hành chính - Cơ sở vật chất</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Hành chính - Cơ sở vật chất kiểm tra nhanh việc tuân thủ trong phạm vi PCCC, thoát hiểm, bình chữa cháy, diễn tập và kiểm soát nguồn nhiệt.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PCCC-01</w:t>
            </w:r>
          </w:p>
        </w:tc>
        <w:tc>
          <w:tcPr>
            <w:tcW w:type="dxa" w:w="3305"/>
            <w:vAlign w:val="center"/>
          </w:tcPr>
          <w:p>
            <w:pPr>
              <w:spacing w:after="0" w:line="240" w:lineRule="auto"/>
            </w:pPr>
            <w:r/>
            <w:r>
              <w:rPr>
                <w:rFonts w:ascii="Times New Roman" w:hAnsi="Times New Roman" w:eastAsia="Times New Roman"/>
                <w:b w:val="0"/>
                <w:i w:val="0"/>
                <w:sz w:val="17"/>
              </w:rPr>
              <w:t>Checklist kiểm tra bình chữa cháy theo tầng/phòng</w:t>
            </w:r>
          </w:p>
        </w:tc>
        <w:tc>
          <w:tcPr>
            <w:tcW w:type="dxa" w:w="3305"/>
            <w:vAlign w:val="center"/>
          </w:tcPr>
          <w:p>
            <w:pPr>
              <w:spacing w:after="0" w:line="240" w:lineRule="auto"/>
            </w:pPr>
            <w:r/>
            <w:r>
              <w:rPr>
                <w:rFonts w:ascii="Times New Roman" w:hAnsi="Times New Roman" w:eastAsia="Times New Roman"/>
                <w:b w:val="0"/>
                <w:i w:val="0"/>
                <w:sz w:val="17"/>
              </w:rPr>
              <w:t>Ngày 01-05 hằng tháng</w:t>
            </w:r>
          </w:p>
        </w:tc>
      </w:tr>
      <w:tr>
        <w:tc>
          <w:tcPr>
            <w:tcW w:type="dxa" w:w="3305"/>
            <w:vAlign w:val="center"/>
          </w:tcPr>
          <w:p>
            <w:pPr>
              <w:spacing w:after="0" w:line="240" w:lineRule="auto"/>
            </w:pPr>
            <w:r/>
            <w:r>
              <w:rPr>
                <w:rFonts w:ascii="Times New Roman" w:hAnsi="Times New Roman" w:eastAsia="Times New Roman"/>
                <w:b w:val="0"/>
                <w:i w:val="0"/>
                <w:sz w:val="17"/>
              </w:rPr>
              <w:t>PCCC-02</w:t>
            </w:r>
          </w:p>
        </w:tc>
        <w:tc>
          <w:tcPr>
            <w:tcW w:type="dxa" w:w="3305"/>
            <w:vAlign w:val="center"/>
          </w:tcPr>
          <w:p>
            <w:pPr>
              <w:spacing w:after="0" w:line="240" w:lineRule="auto"/>
            </w:pPr>
            <w:r/>
            <w:r>
              <w:rPr>
                <w:rFonts w:ascii="Times New Roman" w:hAnsi="Times New Roman" w:eastAsia="Times New Roman"/>
                <w:b w:val="0"/>
                <w:i w:val="0"/>
                <w:sz w:val="17"/>
              </w:rPr>
              <w:t>Giấy phép công việc nóng</w:t>
            </w:r>
          </w:p>
        </w:tc>
        <w:tc>
          <w:tcPr>
            <w:tcW w:type="dxa" w:w="3305"/>
            <w:vAlign w:val="center"/>
          </w:tcPr>
          <w:p>
            <w:pPr>
              <w:spacing w:after="0" w:line="240" w:lineRule="auto"/>
            </w:pPr>
            <w:r/>
            <w:r>
              <w:rPr>
                <w:rFonts w:ascii="Times New Roman" w:hAnsi="Times New Roman" w:eastAsia="Times New Roman"/>
                <w:b w:val="0"/>
                <w:i w:val="0"/>
                <w:sz w:val="17"/>
              </w:rPr>
              <w:t>Trước khi hàn/cắt/sửa điện</w:t>
            </w:r>
          </w:p>
        </w:tc>
      </w:tr>
      <w:tr>
        <w:tc>
          <w:tcPr>
            <w:tcW w:type="dxa" w:w="3305"/>
            <w:vAlign w:val="center"/>
          </w:tcPr>
          <w:p>
            <w:pPr>
              <w:spacing w:after="0" w:line="240" w:lineRule="auto"/>
            </w:pPr>
            <w:r/>
            <w:r>
              <w:rPr>
                <w:rFonts w:ascii="Times New Roman" w:hAnsi="Times New Roman" w:eastAsia="Times New Roman"/>
                <w:b w:val="0"/>
                <w:i w:val="0"/>
                <w:sz w:val="17"/>
              </w:rPr>
              <w:t>PCCC-03</w:t>
            </w:r>
          </w:p>
        </w:tc>
        <w:tc>
          <w:tcPr>
            <w:tcW w:type="dxa" w:w="3305"/>
            <w:vAlign w:val="center"/>
          </w:tcPr>
          <w:p>
            <w:pPr>
              <w:spacing w:after="0" w:line="240" w:lineRule="auto"/>
            </w:pPr>
            <w:r/>
            <w:r>
              <w:rPr>
                <w:rFonts w:ascii="Times New Roman" w:hAnsi="Times New Roman" w:eastAsia="Times New Roman"/>
                <w:b w:val="0"/>
                <w:i w:val="0"/>
                <w:sz w:val="17"/>
              </w:rPr>
              <w:t>Biên bản diễn tập PCCC</w:t>
            </w:r>
          </w:p>
        </w:tc>
        <w:tc>
          <w:tcPr>
            <w:tcW w:type="dxa" w:w="3305"/>
            <w:vAlign w:val="center"/>
          </w:tcPr>
          <w:p>
            <w:pPr>
              <w:spacing w:after="0" w:line="240" w:lineRule="auto"/>
            </w:pPr>
            <w:r/>
            <w:r>
              <w:rPr>
                <w:rFonts w:ascii="Times New Roman" w:hAnsi="Times New Roman" w:eastAsia="Times New Roman"/>
                <w:b w:val="0"/>
                <w:i w:val="0"/>
                <w:sz w:val="17"/>
              </w:rPr>
              <w:t>Sau mỗi buổi diễn tập</w:t>
            </w:r>
          </w:p>
        </w:tc>
      </w:tr>
      <w:tr>
        <w:tc>
          <w:tcPr>
            <w:tcW w:type="dxa" w:w="3305"/>
            <w:vAlign w:val="center"/>
          </w:tcPr>
          <w:p>
            <w:pPr>
              <w:spacing w:after="0" w:line="240" w:lineRule="auto"/>
            </w:pPr>
            <w:r/>
            <w:r>
              <w:rPr>
                <w:rFonts w:ascii="Times New Roman" w:hAnsi="Times New Roman" w:eastAsia="Times New Roman"/>
                <w:b w:val="0"/>
                <w:i w:val="0"/>
                <w:sz w:val="17"/>
              </w:rPr>
              <w:t>PCCC-04</w:t>
            </w:r>
          </w:p>
        </w:tc>
        <w:tc>
          <w:tcPr>
            <w:tcW w:type="dxa" w:w="3305"/>
            <w:vAlign w:val="center"/>
          </w:tcPr>
          <w:p>
            <w:pPr>
              <w:spacing w:after="0" w:line="240" w:lineRule="auto"/>
            </w:pPr>
            <w:r/>
            <w:r>
              <w:rPr>
                <w:rFonts w:ascii="Times New Roman" w:hAnsi="Times New Roman" w:eastAsia="Times New Roman"/>
                <w:b w:val="0"/>
                <w:i w:val="0"/>
                <w:sz w:val="17"/>
              </w:rPr>
              <w:t>Biên bản vi phạm nguồn nhiệt</w:t>
            </w:r>
          </w:p>
        </w:tc>
        <w:tc>
          <w:tcPr>
            <w:tcW w:type="dxa" w:w="3305"/>
            <w:vAlign w:val="center"/>
          </w:tcPr>
          <w:p>
            <w:pPr>
              <w:spacing w:after="0" w:line="240" w:lineRule="auto"/>
            </w:pPr>
            <w:r/>
            <w:r>
              <w:rPr>
                <w:rFonts w:ascii="Times New Roman" w:hAnsi="Times New Roman" w:eastAsia="Times New Roman"/>
                <w:b w:val="0"/>
                <w:i w:val="0"/>
                <w:sz w:val="17"/>
              </w:rPr>
              <w:t>Ngay khi phát hiện vi phạm</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Hút thuốc/sử dụng nguồn nhiệt sai nơi quy định</w:t>
            </w:r>
          </w:p>
        </w:tc>
        <w:tc>
          <w:tcPr>
            <w:tcW w:type="dxa" w:w="3305"/>
            <w:vAlign w:val="center"/>
          </w:tcPr>
          <w:p>
            <w:pPr>
              <w:spacing w:after="0" w:line="240" w:lineRule="auto"/>
            </w:pPr>
            <w:r/>
            <w:r>
              <w:rPr>
                <w:rFonts w:ascii="Times New Roman" w:hAnsi="Times New Roman" w:eastAsia="Times New Roman"/>
                <w:b w:val="0"/>
                <w:i w:val="0"/>
                <w:sz w:val="17"/>
              </w:rPr>
              <w:t>Bồi hoàn chi phí vệ sinh/khắc phục từ 300.000-1.000.000 đồng; tái phạm xem xét kỷ luật</w:t>
            </w:r>
          </w:p>
        </w:tc>
        <w:tc>
          <w:tcPr>
            <w:tcW w:type="dxa" w:w="3305"/>
            <w:vAlign w:val="center"/>
          </w:tcPr>
          <w:p>
            <w:pPr>
              <w:spacing w:after="0" w:line="240" w:lineRule="auto"/>
            </w:pPr>
            <w:r/>
            <w:r>
              <w:rPr>
                <w:rFonts w:ascii="Times New Roman" w:hAnsi="Times New Roman" w:eastAsia="Times New Roman"/>
                <w:b w:val="0"/>
                <w:i w:val="0"/>
                <w:sz w:val="17"/>
              </w:rPr>
              <w:t>24 giờ</w:t>
            </w:r>
          </w:p>
        </w:tc>
      </w:tr>
      <w:tr>
        <w:tc>
          <w:tcPr>
            <w:tcW w:type="dxa" w:w="3305"/>
            <w:vAlign w:val="center"/>
          </w:tcPr>
          <w:p>
            <w:pPr>
              <w:spacing w:after="0" w:line="240" w:lineRule="auto"/>
            </w:pPr>
            <w:r/>
            <w:r>
              <w:rPr>
                <w:rFonts w:ascii="Times New Roman" w:hAnsi="Times New Roman" w:eastAsia="Times New Roman"/>
                <w:b w:val="0"/>
                <w:i w:val="0"/>
                <w:sz w:val="17"/>
              </w:rPr>
              <w:t>Chặn lối thoát hiểm, đặt vật cản trước tủ PCCC</w:t>
            </w:r>
          </w:p>
        </w:tc>
        <w:tc>
          <w:tcPr>
            <w:tcW w:type="dxa" w:w="3305"/>
            <w:vAlign w:val="center"/>
          </w:tcPr>
          <w:p>
            <w:pPr>
              <w:spacing w:after="0" w:line="240" w:lineRule="auto"/>
            </w:pPr>
            <w:r/>
            <w:r>
              <w:rPr>
                <w:rFonts w:ascii="Times New Roman" w:hAnsi="Times New Roman" w:eastAsia="Times New Roman"/>
                <w:b w:val="0"/>
                <w:i w:val="0"/>
                <w:sz w:val="17"/>
              </w:rPr>
              <w:t>Nhắc nhở lần 1; tái phạm tính chi phí di dời tối thiểu 200.000 đồng/lần</w:t>
            </w:r>
          </w:p>
        </w:tc>
        <w:tc>
          <w:tcPr>
            <w:tcW w:type="dxa" w:w="3305"/>
            <w:vAlign w:val="center"/>
          </w:tcPr>
          <w:p>
            <w:pPr>
              <w:spacing w:after="0" w:line="240" w:lineRule="auto"/>
            </w:pPr>
            <w:r/>
            <w:r>
              <w:rPr>
                <w:rFonts w:ascii="Times New Roman" w:hAnsi="Times New Roman" w:eastAsia="Times New Roman"/>
                <w:b w:val="0"/>
                <w:i w:val="0"/>
                <w:sz w:val="17"/>
              </w:rPr>
              <w:t>Ngay lập tức</w:t>
            </w:r>
          </w:p>
        </w:tc>
      </w:tr>
      <w:tr>
        <w:tc>
          <w:tcPr>
            <w:tcW w:type="dxa" w:w="3305"/>
            <w:vAlign w:val="center"/>
          </w:tcPr>
          <w:p>
            <w:pPr>
              <w:spacing w:after="0" w:line="240" w:lineRule="auto"/>
            </w:pPr>
            <w:r/>
            <w:r>
              <w:rPr>
                <w:rFonts w:ascii="Times New Roman" w:hAnsi="Times New Roman" w:eastAsia="Times New Roman"/>
                <w:b w:val="0"/>
                <w:i w:val="0"/>
                <w:sz w:val="17"/>
              </w:rPr>
              <w:t>Không tham gia diễn tập không có lý do hợp lệ</w:t>
            </w:r>
          </w:p>
        </w:tc>
        <w:tc>
          <w:tcPr>
            <w:tcW w:type="dxa" w:w="3305"/>
            <w:vAlign w:val="center"/>
          </w:tcPr>
          <w:p>
            <w:pPr>
              <w:spacing w:after="0" w:line="240" w:lineRule="auto"/>
            </w:pPr>
            <w:r/>
            <w:r>
              <w:rPr>
                <w:rFonts w:ascii="Times New Roman" w:hAnsi="Times New Roman" w:eastAsia="Times New Roman"/>
                <w:b w:val="0"/>
                <w:i w:val="0"/>
                <w:sz w:val="17"/>
              </w:rPr>
              <w:t>Học bù bắt buộc; không xét thưởng tuân thủ tháng nếu vắng quá 02 lần/năm</w:t>
            </w:r>
          </w:p>
        </w:tc>
        <w:tc>
          <w:tcPr>
            <w:tcW w:type="dxa" w:w="3305"/>
            <w:vAlign w:val="center"/>
          </w:tcPr>
          <w:p>
            <w:pPr>
              <w:spacing w:after="0" w:line="240" w:lineRule="auto"/>
            </w:pPr>
            <w:r/>
            <w:r>
              <w:rPr>
                <w:rFonts w:ascii="Times New Roman" w:hAnsi="Times New Roman" w:eastAsia="Times New Roman"/>
                <w:b w:val="0"/>
                <w:i w:val="0"/>
                <w:sz w:val="17"/>
              </w:rPr>
              <w:t>07 ngày</w:t>
            </w:r>
          </w:p>
        </w:tc>
      </w:tr>
      <w:tr>
        <w:tc>
          <w:tcPr>
            <w:tcW w:type="dxa" w:w="3305"/>
            <w:vAlign w:val="center"/>
          </w:tcPr>
          <w:p>
            <w:pPr>
              <w:spacing w:after="0" w:line="240" w:lineRule="auto"/>
            </w:pPr>
            <w:r/>
            <w:r>
              <w:rPr>
                <w:rFonts w:ascii="Times New Roman" w:hAnsi="Times New Roman" w:eastAsia="Times New Roman"/>
                <w:b w:val="0"/>
                <w:i w:val="0"/>
                <w:sz w:val="17"/>
              </w:rPr>
              <w:t>Làm mất, tháo niêm chì, sử dụng bình sai mục đích</w:t>
            </w:r>
          </w:p>
        </w:tc>
        <w:tc>
          <w:tcPr>
            <w:tcW w:type="dxa" w:w="3305"/>
            <w:vAlign w:val="center"/>
          </w:tcPr>
          <w:p>
            <w:pPr>
              <w:spacing w:after="0" w:line="240" w:lineRule="auto"/>
            </w:pPr>
            <w:r/>
            <w:r>
              <w:rPr>
                <w:rFonts w:ascii="Times New Roman" w:hAnsi="Times New Roman" w:eastAsia="Times New Roman"/>
                <w:b w:val="0"/>
                <w:i w:val="0"/>
                <w:sz w:val="17"/>
              </w:rPr>
              <w:t>Bồi hoàn chi phí nạp/thay bình theo thực tế, tối thiểu 250.000 đồng/bình</w:t>
            </w:r>
          </w:p>
        </w:tc>
        <w:tc>
          <w:tcPr>
            <w:tcW w:type="dxa" w:w="3305"/>
            <w:vAlign w:val="center"/>
          </w:tcPr>
          <w:p>
            <w:pPr>
              <w:spacing w:after="0" w:line="240" w:lineRule="auto"/>
            </w:pPr>
            <w:r/>
            <w:r>
              <w:rPr>
                <w:rFonts w:ascii="Times New Roman" w:hAnsi="Times New Roman" w:eastAsia="Times New Roman"/>
                <w:b w:val="0"/>
                <w:i w:val="0"/>
                <w:sz w:val="17"/>
              </w:rPr>
              <w:t>03 ngày</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Hành chính - Cơ sở vật chất</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VSF-HC-01-V2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