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02/2026/QĐ-VSF-HC-02</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ĐỊNH</w:t>
      </w:r>
    </w:p>
    <w:p>
      <w:pPr>
        <w:spacing w:after="200" w:before="0" w:line="269" w:lineRule="auto"/>
        <w:jc w:val="center"/>
      </w:pPr>
      <w:r>
        <w:rPr>
          <w:rFonts w:ascii="Times New Roman" w:hAnsi="Times New Roman" w:eastAsia="Times New Roman"/>
          <w:b/>
          <w:i w:val="0"/>
          <w:sz w:val="36"/>
        </w:rPr>
        <w:t>QUY ĐỊNH AN NINH, KIỂM SOÁT RA VÀO VÀ QUẢN LÝ THẺ NHÂN VIÊN</w:t>
      </w:r>
    </w:p>
    <w:p>
      <w:pPr>
        <w:spacing w:after="100" w:before="0" w:line="269" w:lineRule="auto"/>
        <w:jc w:val="center"/>
      </w:pPr>
      <w:r>
        <w:rPr>
          <w:rFonts w:ascii="Times New Roman" w:hAnsi="Times New Roman" w:eastAsia="Times New Roman"/>
          <w:b w:val="0"/>
          <w:i/>
          <w:sz w:val="24"/>
        </w:rPr>
        <w:t>(Ban hành kèm theo Quyết định số 02/2026/QĐ-VSF-HC-02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VSF-HC-02-V2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Hành chính - An ninh</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02/2026/QĐ-VSF-HC-02</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định quy định an ninh, kiểm soát ra vào và quản lý thẻ nhân viên</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định “Quy định an ninh, kiểm soát ra vào và quản lý thẻ nhân viên”.</w:t>
      </w:r>
    </w:p>
    <w:p>
      <w:pPr>
        <w:spacing w:after="100" w:before="0" w:line="269" w:lineRule="auto"/>
      </w:pPr>
      <w:r>
        <w:rPr>
          <w:rFonts w:ascii="Times New Roman" w:hAnsi="Times New Roman" w:eastAsia="Times New Roman"/>
          <w:b w:val="0"/>
          <w:i w:val="0"/>
          <w:sz w:val="24"/>
        </w:rPr>
        <w:t>Điều 2. Phòng Hành chính - An ninh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An Ninh Và Ra Vào</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an ninh, ra vào, thẻ nhân viên, khách và camera.</w:t>
      </w:r>
    </w:p>
    <w:p>
      <w:pPr>
        <w:spacing w:after="80" w:before="0" w:line="269" w:lineRule="auto"/>
        <w:ind w:firstLine="283"/>
      </w:pPr>
      <w:r>
        <w:rPr>
          <w:rFonts w:ascii="Times New Roman" w:hAnsi="Times New Roman" w:eastAsia="Times New Roman"/>
          <w:b w:val="0"/>
          <w:i w:val="0"/>
          <w:sz w:val="24"/>
        </w:rPr>
        <w:t>2. Nội dung chỉ áp dụng trong phạm vi an ninh, ra vào, thẻ nhân viên, khách và camera;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Hành chính - An ninh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AN NINH VÀ RA VÀO</w:t>
      </w:r>
    </w:p>
    <w:p>
      <w:pPr>
        <w:spacing w:after="100" w:before="80" w:line="269" w:lineRule="auto"/>
      </w:pPr>
      <w:r>
        <w:rPr>
          <w:rFonts w:ascii="Times New Roman" w:hAnsi="Times New Roman" w:eastAsia="Times New Roman"/>
          <w:b/>
          <w:i w:val="0"/>
          <w:sz w:val="26"/>
        </w:rPr>
        <w:t>Điều 5. Khung giờ ra vào và kiểm soát chấm công</w:t>
      </w:r>
    </w:p>
    <w:p>
      <w:pPr>
        <w:spacing w:after="80" w:before="0" w:line="269" w:lineRule="auto"/>
        <w:ind w:firstLine="283"/>
      </w:pPr>
      <w:r>
        <w:rPr>
          <w:rFonts w:ascii="Times New Roman" w:hAnsi="Times New Roman" w:eastAsia="Times New Roman"/>
          <w:b w:val="0"/>
          <w:i w:val="0"/>
          <w:sz w:val="24"/>
        </w:rPr>
        <w:t>1. Khung thời gian làm việc chung của Công ty là 08 giờ/ngày. Người lao động check-in trong khoảng 08h30-09h30, checkout tương ứng trong khoảng 17h45-18h45 sau khi đã đủ 08 giờ làm việc thực tế, không bao gồm thời gian nghỉ trưa 12h30-13h45. Công ty làm việc từ thứ Hai đến thứ Sáu và 02 ngày thứ Bảy trong tháng theo lịch cách tuần; ngày thứ Bảy được ưu tiên làm việc từ xa, trừ bộ phận kho, nhà máy, an ninh, hành chính cơ sở vật chất hoặc vị trí được phân công trực tiếp tại địa điểm.</w:t>
      </w:r>
    </w:p>
    <w:p>
      <w:pPr>
        <w:spacing w:after="80" w:before="0" w:line="269" w:lineRule="auto"/>
        <w:ind w:firstLine="283"/>
      </w:pPr>
      <w:r>
        <w:rPr>
          <w:rFonts w:ascii="Times New Roman" w:hAnsi="Times New Roman" w:eastAsia="Times New Roman"/>
          <w:b w:val="0"/>
          <w:i w:val="0"/>
          <w:sz w:val="24"/>
        </w:rPr>
        <w:t>2. Cổng nhân viên mở từ 07h45 đến 19h30 vào ngày làm việc; ra vào ngoài khung giờ này phải có đăng ký làm thêm, trực, công tác hoặc phê duyệt của quản lý.</w:t>
      </w:r>
    </w:p>
    <w:p>
      <w:pPr>
        <w:spacing w:after="80" w:before="0" w:line="269" w:lineRule="auto"/>
        <w:ind w:firstLine="283"/>
      </w:pPr>
      <w:r>
        <w:rPr>
          <w:rFonts w:ascii="Times New Roman" w:hAnsi="Times New Roman" w:eastAsia="Times New Roman"/>
          <w:b w:val="0"/>
          <w:i w:val="0"/>
          <w:sz w:val="24"/>
        </w:rPr>
        <w:t>3. Nhân viên phải sử dụng thẻ/vân tay/khuôn mặt của chính mình. Dữ liệu ra vào được dùng để đối chiếu an ninh, không thay thế quy định chấm công của Phòng Nhân sự.</w:t>
      </w:r>
    </w:p>
    <w:p>
      <w:pPr>
        <w:spacing w:after="80" w:before="0" w:line="269" w:lineRule="auto"/>
        <w:ind w:firstLine="283"/>
      </w:pPr>
      <w:r>
        <w:rPr>
          <w:rFonts w:ascii="Times New Roman" w:hAnsi="Times New Roman" w:eastAsia="Times New Roman"/>
          <w:b w:val="0"/>
          <w:i w:val="0"/>
          <w:sz w:val="24"/>
        </w:rPr>
        <w:t>4. Khối kho, nhà máy, bảo vệ và trực hệ thống có thể áp dụng khung giờ riêng nhưng phải được phê duyệt bằng lịch trực.</w:t>
      </w:r>
    </w:p>
    <w:p>
      <w:pPr>
        <w:spacing w:after="100" w:before="80" w:line="269" w:lineRule="auto"/>
      </w:pPr>
      <w:r>
        <w:rPr>
          <w:rFonts w:ascii="Times New Roman" w:hAnsi="Times New Roman" w:eastAsia="Times New Roman"/>
          <w:b/>
          <w:i w:val="0"/>
          <w:sz w:val="26"/>
        </w:rPr>
        <w:t>Điều 6. Quy định thẻ nhân viên, camera và vân tay</w:t>
      </w:r>
    </w:p>
    <w:p>
      <w:pPr>
        <w:spacing w:after="80" w:before="0" w:line="269" w:lineRule="auto"/>
        <w:ind w:firstLine="283"/>
      </w:pPr>
      <w:r>
        <w:rPr>
          <w:rFonts w:ascii="Times New Roman" w:hAnsi="Times New Roman" w:eastAsia="Times New Roman"/>
          <w:b w:val="0"/>
          <w:i w:val="0"/>
          <w:sz w:val="24"/>
        </w:rPr>
        <w:t>1. Mỗi nhân viên được cấp 01 thẻ chính. Không dán, cắt, khoan, cho mượn, dùng chung hoặc chuyển thẻ cho người khác dưới mọi hình thức.</w:t>
      </w:r>
    </w:p>
    <w:p>
      <w:pPr>
        <w:spacing w:after="80" w:before="0" w:line="269" w:lineRule="auto"/>
        <w:ind w:firstLine="283"/>
      </w:pPr>
      <w:r>
        <w:rPr>
          <w:rFonts w:ascii="Times New Roman" w:hAnsi="Times New Roman" w:eastAsia="Times New Roman"/>
          <w:b w:val="0"/>
          <w:i w:val="0"/>
          <w:sz w:val="24"/>
        </w:rPr>
        <w:t>2. Thẻ nhân viên được phân quyền theo khu vực làm việc. Khu vực server, kho hàng giá trị cao, phòng tài chính và phòng hồ sơ cần quyền riêng được duyệt qua hệ thống.</w:t>
      </w:r>
    </w:p>
    <w:p>
      <w:pPr>
        <w:spacing w:after="80" w:before="0" w:line="269" w:lineRule="auto"/>
        <w:ind w:firstLine="283"/>
      </w:pPr>
      <w:r>
        <w:rPr>
          <w:rFonts w:ascii="Times New Roman" w:hAnsi="Times New Roman" w:eastAsia="Times New Roman"/>
          <w:b w:val="0"/>
          <w:i w:val="0"/>
          <w:sz w:val="24"/>
        </w:rPr>
        <w:t>3. Camera được lắp tại cổng, hành lang, kho, phòng thiết bị và khu vực công cộng; không lắp camera tại nhà vệ sinh, phòng thay đồ hoặc khu vực riêng tư.</w:t>
      </w:r>
    </w:p>
    <w:p>
      <w:pPr>
        <w:spacing w:after="80" w:before="0" w:line="269" w:lineRule="auto"/>
        <w:ind w:firstLine="283"/>
      </w:pPr>
      <w:r>
        <w:rPr>
          <w:rFonts w:ascii="Times New Roman" w:hAnsi="Times New Roman" w:eastAsia="Times New Roman"/>
          <w:b w:val="0"/>
          <w:i w:val="0"/>
          <w:sz w:val="24"/>
        </w:rPr>
        <w:t>4. Bản ghi camera được lưu tối thiểu 30 ngày; trích xuất camera phải có yêu cầu của Trưởng bộ phận, Phòng Hành chính - An ninh hoặc Pháp chế.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Loại quyền</w:t>
            </w:r>
          </w:p>
        </w:tc>
        <w:tc>
          <w:tcPr>
            <w:tcW w:type="dxa" w:w="3305"/>
            <w:vAlign w:val="center"/>
          </w:tcPr>
          <w:p>
            <w:pPr>
              <w:spacing w:after="0" w:line="240" w:lineRule="auto"/>
              <w:jc w:val="center"/>
            </w:pPr>
            <w:r/>
            <w:r>
              <w:rPr>
                <w:rFonts w:ascii="Times New Roman" w:hAnsi="Times New Roman" w:eastAsia="Times New Roman"/>
                <w:b/>
                <w:i w:val="0"/>
                <w:sz w:val="18"/>
              </w:rPr>
              <w:t>Thời hạn xử lý</w:t>
            </w:r>
          </w:p>
        </w:tc>
        <w:tc>
          <w:tcPr>
            <w:tcW w:type="dxa" w:w="3305"/>
            <w:vAlign w:val="center"/>
          </w:tcPr>
          <w:p>
            <w:pPr>
              <w:spacing w:after="0" w:line="240" w:lineRule="auto"/>
              <w:jc w:val="center"/>
            </w:pPr>
            <w:r/>
            <w:r>
              <w:rPr>
                <w:rFonts w:ascii="Times New Roman" w:hAnsi="Times New Roman" w:eastAsia="Times New Roman"/>
                <w:b/>
                <w:i w:val="0"/>
                <w:sz w:val="18"/>
              </w:rPr>
              <w:t>Người phê duyệt</w:t>
            </w:r>
          </w:p>
        </w:tc>
      </w:tr>
      <w:tr>
        <w:tc>
          <w:tcPr>
            <w:tcW w:type="dxa" w:w="3305"/>
            <w:vAlign w:val="center"/>
          </w:tcPr>
          <w:p>
            <w:pPr>
              <w:spacing w:after="0" w:line="240" w:lineRule="auto"/>
            </w:pPr>
            <w:r/>
            <w:r>
              <w:rPr>
                <w:rFonts w:ascii="Times New Roman" w:hAnsi="Times New Roman" w:eastAsia="Times New Roman"/>
                <w:b w:val="0"/>
                <w:i w:val="0"/>
                <w:sz w:val="18"/>
              </w:rPr>
              <w:t>Cấp thẻ nhân viên mới</w:t>
            </w:r>
          </w:p>
        </w:tc>
        <w:tc>
          <w:tcPr>
            <w:tcW w:type="dxa" w:w="3305"/>
            <w:vAlign w:val="center"/>
          </w:tcPr>
          <w:p>
            <w:pPr>
              <w:spacing w:after="0" w:line="240" w:lineRule="auto"/>
            </w:pPr>
            <w:r/>
            <w:r>
              <w:rPr>
                <w:rFonts w:ascii="Times New Roman" w:hAnsi="Times New Roman" w:eastAsia="Times New Roman"/>
                <w:b w:val="0"/>
                <w:i w:val="0"/>
                <w:sz w:val="18"/>
              </w:rPr>
              <w:t>Trong ngày onboarding</w:t>
            </w:r>
          </w:p>
        </w:tc>
        <w:tc>
          <w:tcPr>
            <w:tcW w:type="dxa" w:w="3305"/>
            <w:vAlign w:val="center"/>
          </w:tcPr>
          <w:p>
            <w:pPr>
              <w:spacing w:after="0" w:line="240" w:lineRule="auto"/>
            </w:pPr>
            <w:r/>
            <w:r>
              <w:rPr>
                <w:rFonts w:ascii="Times New Roman" w:hAnsi="Times New Roman" w:eastAsia="Times New Roman"/>
                <w:b w:val="0"/>
                <w:i w:val="0"/>
                <w:sz w:val="18"/>
              </w:rPr>
              <w:t>HR + Hành chính</w:t>
            </w:r>
          </w:p>
        </w:tc>
      </w:tr>
      <w:tr>
        <w:tc>
          <w:tcPr>
            <w:tcW w:type="dxa" w:w="3305"/>
            <w:vAlign w:val="center"/>
          </w:tcPr>
          <w:p>
            <w:pPr>
              <w:spacing w:after="0" w:line="240" w:lineRule="auto"/>
            </w:pPr>
            <w:r/>
            <w:r>
              <w:rPr>
                <w:rFonts w:ascii="Times New Roman" w:hAnsi="Times New Roman" w:eastAsia="Times New Roman"/>
                <w:b w:val="0"/>
                <w:i w:val="0"/>
                <w:sz w:val="18"/>
              </w:rPr>
              <w:t>Cấp quyền khu vực hạn chế</w:t>
            </w:r>
          </w:p>
        </w:tc>
        <w:tc>
          <w:tcPr>
            <w:tcW w:type="dxa" w:w="3305"/>
            <w:vAlign w:val="center"/>
          </w:tcPr>
          <w:p>
            <w:pPr>
              <w:spacing w:after="0" w:line="240" w:lineRule="auto"/>
            </w:pPr>
            <w:r/>
            <w:r>
              <w:rPr>
                <w:rFonts w:ascii="Times New Roman" w:hAnsi="Times New Roman" w:eastAsia="Times New Roman"/>
                <w:b w:val="0"/>
                <w:i w:val="0"/>
                <w:sz w:val="18"/>
              </w:rPr>
              <w:t>01 ngày làm việc</w:t>
            </w:r>
          </w:p>
        </w:tc>
        <w:tc>
          <w:tcPr>
            <w:tcW w:type="dxa" w:w="3305"/>
            <w:vAlign w:val="center"/>
          </w:tcPr>
          <w:p>
            <w:pPr>
              <w:spacing w:after="0" w:line="240" w:lineRule="auto"/>
            </w:pPr>
            <w:r/>
            <w:r>
              <w:rPr>
                <w:rFonts w:ascii="Times New Roman" w:hAnsi="Times New Roman" w:eastAsia="Times New Roman"/>
                <w:b w:val="0"/>
                <w:i w:val="0"/>
                <w:sz w:val="18"/>
              </w:rPr>
              <w:t>Trưởng đơn vị + An ninh</w:t>
            </w:r>
          </w:p>
        </w:tc>
      </w:tr>
      <w:tr>
        <w:tc>
          <w:tcPr>
            <w:tcW w:type="dxa" w:w="3305"/>
            <w:vAlign w:val="center"/>
          </w:tcPr>
          <w:p>
            <w:pPr>
              <w:spacing w:after="0" w:line="240" w:lineRule="auto"/>
            </w:pPr>
            <w:r/>
            <w:r>
              <w:rPr>
                <w:rFonts w:ascii="Times New Roman" w:hAnsi="Times New Roman" w:eastAsia="Times New Roman"/>
                <w:b w:val="0"/>
                <w:i w:val="0"/>
                <w:sz w:val="18"/>
              </w:rPr>
              <w:t>Mở cửa ngoài giờ</w:t>
            </w:r>
          </w:p>
        </w:tc>
        <w:tc>
          <w:tcPr>
            <w:tcW w:type="dxa" w:w="3305"/>
            <w:vAlign w:val="center"/>
          </w:tcPr>
          <w:p>
            <w:pPr>
              <w:spacing w:after="0" w:line="240" w:lineRule="auto"/>
            </w:pPr>
            <w:r/>
            <w:r>
              <w:rPr>
                <w:rFonts w:ascii="Times New Roman" w:hAnsi="Times New Roman" w:eastAsia="Times New Roman"/>
                <w:b w:val="0"/>
                <w:i w:val="0"/>
                <w:sz w:val="18"/>
              </w:rPr>
              <w:t>Trước 16h00 cùng ngày</w:t>
            </w:r>
          </w:p>
        </w:tc>
        <w:tc>
          <w:tcPr>
            <w:tcW w:type="dxa" w:w="3305"/>
            <w:vAlign w:val="center"/>
          </w:tcPr>
          <w:p>
            <w:pPr>
              <w:spacing w:after="0" w:line="240" w:lineRule="auto"/>
            </w:pPr>
            <w:r/>
            <w:r>
              <w:rPr>
                <w:rFonts w:ascii="Times New Roman" w:hAnsi="Times New Roman" w:eastAsia="Times New Roman"/>
                <w:b w:val="0"/>
                <w:i w:val="0"/>
                <w:sz w:val="18"/>
              </w:rPr>
              <w:t>Quản lý trực tiếp</w:t>
            </w:r>
          </w:p>
        </w:tc>
      </w:tr>
      <w:tr>
        <w:tc>
          <w:tcPr>
            <w:tcW w:type="dxa" w:w="3305"/>
            <w:vAlign w:val="center"/>
          </w:tcPr>
          <w:p>
            <w:pPr>
              <w:spacing w:after="0" w:line="240" w:lineRule="auto"/>
            </w:pPr>
            <w:r/>
            <w:r>
              <w:rPr>
                <w:rFonts w:ascii="Times New Roman" w:hAnsi="Times New Roman" w:eastAsia="Times New Roman"/>
                <w:b w:val="0"/>
                <w:i w:val="0"/>
                <w:sz w:val="18"/>
              </w:rPr>
              <w:t>Trích xuất camera</w:t>
            </w:r>
          </w:p>
        </w:tc>
        <w:tc>
          <w:tcPr>
            <w:tcW w:type="dxa" w:w="3305"/>
            <w:vAlign w:val="center"/>
          </w:tcPr>
          <w:p>
            <w:pPr>
              <w:spacing w:after="0" w:line="240" w:lineRule="auto"/>
            </w:pPr>
            <w:r/>
            <w:r>
              <w:rPr>
                <w:rFonts w:ascii="Times New Roman" w:hAnsi="Times New Roman" w:eastAsia="Times New Roman"/>
                <w:b w:val="0"/>
                <w:i w:val="0"/>
                <w:sz w:val="18"/>
              </w:rPr>
              <w:t>Tối đa 02 ngày làm việc</w:t>
            </w:r>
          </w:p>
        </w:tc>
        <w:tc>
          <w:tcPr>
            <w:tcW w:type="dxa" w:w="3305"/>
            <w:vAlign w:val="center"/>
          </w:tcPr>
          <w:p>
            <w:pPr>
              <w:spacing w:after="0" w:line="240" w:lineRule="auto"/>
            </w:pPr>
            <w:r/>
            <w:r>
              <w:rPr>
                <w:rFonts w:ascii="Times New Roman" w:hAnsi="Times New Roman" w:eastAsia="Times New Roman"/>
                <w:b w:val="0"/>
                <w:i w:val="0"/>
                <w:sz w:val="18"/>
              </w:rPr>
              <w:t>Hành chính + Pháp chế nếu cần</w:t>
            </w:r>
          </w:p>
        </w:tc>
      </w:tr>
    </w:tbl>
    <w:p>
      <w:pPr>
        <w:spacing w:after="40" w:before="0" w:line="269" w:lineRule="auto"/>
      </w:pPr>
    </w:p>
    <w:p>
      <w:pPr>
        <w:spacing w:after="100" w:before="80" w:line="269" w:lineRule="auto"/>
      </w:pPr>
      <w:r>
        <w:rPr>
          <w:rFonts w:ascii="Times New Roman" w:hAnsi="Times New Roman" w:eastAsia="Times New Roman"/>
          <w:b/>
          <w:i w:val="0"/>
          <w:sz w:val="26"/>
        </w:rPr>
        <w:t>Điều 7. Quy trình đăng ký khách</w:t>
      </w:r>
    </w:p>
    <w:p>
      <w:pPr>
        <w:spacing w:after="80" w:before="0" w:line="269" w:lineRule="auto"/>
        <w:ind w:firstLine="283"/>
      </w:pPr>
      <w:r>
        <w:rPr>
          <w:rFonts w:ascii="Times New Roman" w:hAnsi="Times New Roman" w:eastAsia="Times New Roman"/>
          <w:b w:val="0"/>
          <w:i w:val="0"/>
          <w:sz w:val="24"/>
        </w:rPr>
        <w:t>1. Khách làm việc theo lịch phải được nhân viên phụ trách đăng ký trước tối thiểu 04 giờ làm việc; đoàn từ 05 người trở lên đăng ký trước 01 ngày làm việc.</w:t>
      </w:r>
    </w:p>
    <w:p>
      <w:pPr>
        <w:spacing w:after="80" w:before="0" w:line="269" w:lineRule="auto"/>
        <w:ind w:firstLine="283"/>
      </w:pPr>
      <w:r>
        <w:rPr>
          <w:rFonts w:ascii="Times New Roman" w:hAnsi="Times New Roman" w:eastAsia="Times New Roman"/>
          <w:b w:val="0"/>
          <w:i w:val="0"/>
          <w:sz w:val="24"/>
        </w:rPr>
        <w:t>2. Khách đột xuất chỉ được vào khi có nhân viên phụ trách xác nhận tại quầy bảo vệ và không được tự di chuyển trong khu vực làm việc.</w:t>
      </w:r>
    </w:p>
    <w:p>
      <w:pPr>
        <w:spacing w:after="80" w:before="0" w:line="269" w:lineRule="auto"/>
        <w:ind w:firstLine="283"/>
      </w:pPr>
      <w:r>
        <w:rPr>
          <w:rFonts w:ascii="Times New Roman" w:hAnsi="Times New Roman" w:eastAsia="Times New Roman"/>
          <w:b w:val="0"/>
          <w:i w:val="0"/>
          <w:sz w:val="24"/>
        </w:rPr>
        <w:t>3. Khách phải xuất trình giấy tờ tùy thân hoặc mã QR thư mời, nhận thẻ khách, đeo thẻ trong suốt thời gian tại Công ty và trả thẻ khi ra về.</w:t>
      </w:r>
    </w:p>
    <w:p>
      <w:pPr>
        <w:spacing w:after="80" w:before="0" w:line="269" w:lineRule="auto"/>
        <w:ind w:firstLine="283"/>
      </w:pPr>
      <w:r>
        <w:rPr>
          <w:rFonts w:ascii="Times New Roman" w:hAnsi="Times New Roman" w:eastAsia="Times New Roman"/>
          <w:b w:val="0"/>
          <w:i w:val="0"/>
          <w:sz w:val="24"/>
        </w:rPr>
        <w:t>4. Khách không được chụp ảnh, ghi âm, cắm USB, truy cập Wi-Fi nội bộ hoặc tiếp cận tài liệu nếu chưa được cho phép.</w:t>
      </w:r>
    </w:p>
    <w:p>
      <w:pPr>
        <w:spacing w:after="100" w:before="80" w:line="269" w:lineRule="auto"/>
      </w:pPr>
      <w:r>
        <w:rPr>
          <w:rFonts w:ascii="Times New Roman" w:hAnsi="Times New Roman" w:eastAsia="Times New Roman"/>
          <w:b/>
          <w:i w:val="0"/>
          <w:sz w:val="26"/>
        </w:rPr>
        <w:t>Điều 8. Cấp phát, thu hồi và báo mất thẻ</w:t>
      </w:r>
    </w:p>
    <w:p>
      <w:pPr>
        <w:spacing w:after="80" w:before="0" w:line="269" w:lineRule="auto"/>
        <w:ind w:firstLine="283"/>
      </w:pPr>
      <w:r>
        <w:rPr>
          <w:rFonts w:ascii="Times New Roman" w:hAnsi="Times New Roman" w:eastAsia="Times New Roman"/>
          <w:b w:val="0"/>
          <w:i w:val="0"/>
          <w:sz w:val="24"/>
        </w:rPr>
        <w:t>1. Thẻ được cấp trong ngày nhân viên bắt đầu làm việc; thẻ hỏng do lỗi kỹ thuật được đổi miễn phí.</w:t>
      </w:r>
    </w:p>
    <w:p>
      <w:pPr>
        <w:spacing w:after="80" w:before="0" w:line="269" w:lineRule="auto"/>
        <w:ind w:firstLine="283"/>
      </w:pPr>
      <w:r>
        <w:rPr>
          <w:rFonts w:ascii="Times New Roman" w:hAnsi="Times New Roman" w:eastAsia="Times New Roman"/>
          <w:b w:val="0"/>
          <w:i w:val="0"/>
          <w:sz w:val="24"/>
        </w:rPr>
        <w:t>2. Mất thẻ phải báo ngay cho Bảo vệ/HCNS trong vòng 30 phút kể từ khi phát hiện để khóa quyền truy cập.</w:t>
      </w:r>
    </w:p>
    <w:p>
      <w:pPr>
        <w:spacing w:after="80" w:before="0" w:line="269" w:lineRule="auto"/>
        <w:ind w:firstLine="283"/>
      </w:pPr>
      <w:r>
        <w:rPr>
          <w:rFonts w:ascii="Times New Roman" w:hAnsi="Times New Roman" w:eastAsia="Times New Roman"/>
          <w:b w:val="0"/>
          <w:i w:val="0"/>
          <w:sz w:val="24"/>
        </w:rPr>
        <w:t>3. Nhân sự nghỉ việc, chuyển bộ phận hoặc tạm đình chỉ công tác phải bàn giao thẻ trong ngày cuối cùng làm việc hoặc ngay khi có quyết định.</w:t>
      </w:r>
    </w:p>
    <w:p>
      <w:pPr>
        <w:spacing w:after="80" w:before="0" w:line="269" w:lineRule="auto"/>
        <w:ind w:firstLine="283"/>
      </w:pPr>
      <w:r>
        <w:rPr>
          <w:rFonts w:ascii="Times New Roman" w:hAnsi="Times New Roman" w:eastAsia="Times New Roman"/>
          <w:b w:val="0"/>
          <w:i w:val="0"/>
          <w:sz w:val="24"/>
        </w:rPr>
        <w:t>4. Thẻ khách thất lạc phải báo trước khi khách rời khỏi Công ty; nhân viên phụ trách chịu trách nhiệm phối hợp tìm kiếm và xử lý.</w:t>
      </w:r>
    </w:p>
    <w:p>
      <w:pPr>
        <w:spacing w:after="100" w:before="80" w:line="269" w:lineRule="auto"/>
      </w:pPr>
      <w:r>
        <w:rPr>
          <w:rFonts w:ascii="Times New Roman" w:hAnsi="Times New Roman" w:eastAsia="Times New Roman"/>
          <w:b/>
          <w:i w:val="0"/>
          <w:sz w:val="26"/>
        </w:rPr>
        <w:t>Điều 9. Kiểm soát hàng hóa, thiết bị mang ra vào</w:t>
      </w:r>
    </w:p>
    <w:p>
      <w:pPr>
        <w:spacing w:after="80" w:before="0" w:line="269" w:lineRule="auto"/>
        <w:ind w:firstLine="283"/>
      </w:pPr>
      <w:r>
        <w:rPr>
          <w:rFonts w:ascii="Times New Roman" w:hAnsi="Times New Roman" w:eastAsia="Times New Roman"/>
          <w:b w:val="0"/>
          <w:i w:val="0"/>
          <w:sz w:val="24"/>
        </w:rPr>
        <w:t>1. Laptop cá nhân, thiết bị thử nghiệm, hàng mẫu, hồ sơ gốc hoặc thiết bị có giá trị từ 2.000.000 đồng trở lên phải đăng ký tại cổng khi mang vào.</w:t>
      </w:r>
    </w:p>
    <w:p>
      <w:pPr>
        <w:spacing w:after="80" w:before="0" w:line="269" w:lineRule="auto"/>
        <w:ind w:firstLine="283"/>
      </w:pPr>
      <w:r>
        <w:rPr>
          <w:rFonts w:ascii="Times New Roman" w:hAnsi="Times New Roman" w:eastAsia="Times New Roman"/>
          <w:b w:val="0"/>
          <w:i w:val="0"/>
          <w:sz w:val="24"/>
        </w:rPr>
        <w:t>2. Tài sản Công ty mang ra ngoài phải có phiếu điều chuyển, phiếu mượn hoặc phê duyệt email của quản lý và bộ phận tài sản.</w:t>
      </w:r>
    </w:p>
    <w:p>
      <w:pPr>
        <w:spacing w:after="80" w:before="0" w:line="269" w:lineRule="auto"/>
        <w:ind w:firstLine="283"/>
      </w:pPr>
      <w:r>
        <w:rPr>
          <w:rFonts w:ascii="Times New Roman" w:hAnsi="Times New Roman" w:eastAsia="Times New Roman"/>
          <w:b w:val="0"/>
          <w:i w:val="0"/>
          <w:sz w:val="24"/>
        </w:rPr>
        <w:t>3. Bảo vệ có quyền kiểm tra đối chiếu mã tài sản, số serial, phiếu xuất và người mang tài sản trong phạm vi bảo đảm an ninh.</w:t>
      </w:r>
    </w:p>
    <w:p>
      <w:pPr>
        <w:spacing w:after="80" w:before="0" w:line="269" w:lineRule="auto"/>
        <w:ind w:firstLine="283"/>
      </w:pPr>
      <w:r>
        <w:rPr>
          <w:rFonts w:ascii="Times New Roman" w:hAnsi="Times New Roman" w:eastAsia="Times New Roman"/>
          <w:b w:val="0"/>
          <w:i w:val="0"/>
          <w:sz w:val="24"/>
        </w:rPr>
        <w:t>4. Trường hợp phát hiện sai lệch phải tạm giữ tại quầy bảo vệ và báo Hành chính trong vòng 15 phút.</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Hành chính - An ninh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Mất thẻ nhân viên lần 1</w:t>
            </w:r>
          </w:p>
        </w:tc>
        <w:tc>
          <w:tcPr>
            <w:tcW w:type="dxa" w:w="3305"/>
            <w:vAlign w:val="center"/>
          </w:tcPr>
          <w:p>
            <w:pPr>
              <w:spacing w:after="0" w:line="240" w:lineRule="auto"/>
            </w:pPr>
            <w:r/>
            <w:r>
              <w:rPr>
                <w:rFonts w:ascii="Times New Roman" w:hAnsi="Times New Roman" w:eastAsia="Times New Roman"/>
                <w:b w:val="0"/>
                <w:i w:val="0"/>
                <w:sz w:val="18"/>
              </w:rPr>
              <w:t>Phí cấp lại 100.000 đồng/thẻ; khóa thẻ cũ ngay khi báo mất</w:t>
            </w:r>
          </w:p>
        </w:tc>
        <w:tc>
          <w:tcPr>
            <w:tcW w:type="dxa" w:w="3305"/>
            <w:vAlign w:val="center"/>
          </w:tcPr>
          <w:p>
            <w:pPr>
              <w:spacing w:after="0" w:line="240" w:lineRule="auto"/>
            </w:pPr>
            <w:r/>
            <w:r>
              <w:rPr>
                <w:rFonts w:ascii="Times New Roman" w:hAnsi="Times New Roman" w:eastAsia="Times New Roman"/>
                <w:b w:val="0"/>
                <w:i w:val="0"/>
                <w:sz w:val="18"/>
              </w:rPr>
              <w:t>01 ngày</w:t>
            </w:r>
          </w:p>
        </w:tc>
      </w:tr>
      <w:tr>
        <w:tc>
          <w:tcPr>
            <w:tcW w:type="dxa" w:w="3305"/>
            <w:vAlign w:val="center"/>
          </w:tcPr>
          <w:p>
            <w:pPr>
              <w:spacing w:after="0" w:line="240" w:lineRule="auto"/>
            </w:pPr>
            <w:r/>
            <w:r>
              <w:rPr>
                <w:rFonts w:ascii="Times New Roman" w:hAnsi="Times New Roman" w:eastAsia="Times New Roman"/>
                <w:b w:val="0"/>
                <w:i w:val="0"/>
                <w:sz w:val="18"/>
              </w:rPr>
              <w:t>Mất thẻ từ lần 2 trong 12 tháng</w:t>
            </w:r>
          </w:p>
        </w:tc>
        <w:tc>
          <w:tcPr>
            <w:tcW w:type="dxa" w:w="3305"/>
            <w:vAlign w:val="center"/>
          </w:tcPr>
          <w:p>
            <w:pPr>
              <w:spacing w:after="0" w:line="240" w:lineRule="auto"/>
            </w:pPr>
            <w:r/>
            <w:r>
              <w:rPr>
                <w:rFonts w:ascii="Times New Roman" w:hAnsi="Times New Roman" w:eastAsia="Times New Roman"/>
                <w:b w:val="0"/>
                <w:i w:val="0"/>
                <w:sz w:val="18"/>
              </w:rPr>
              <w:t>Phí cấp lại 200.000 đồng/thẻ và nhắc nhở bằng văn bản</w:t>
            </w:r>
          </w:p>
        </w:tc>
        <w:tc>
          <w:tcPr>
            <w:tcW w:type="dxa" w:w="3305"/>
            <w:vAlign w:val="center"/>
          </w:tcPr>
          <w:p>
            <w:pPr>
              <w:spacing w:after="0" w:line="240" w:lineRule="auto"/>
            </w:pPr>
            <w:r/>
            <w:r>
              <w:rPr>
                <w:rFonts w:ascii="Times New Roman" w:hAnsi="Times New Roman" w:eastAsia="Times New Roman"/>
                <w:b w:val="0"/>
                <w:i w:val="0"/>
                <w:sz w:val="18"/>
              </w:rPr>
              <w:t>01 ngày</w:t>
            </w:r>
          </w:p>
        </w:tc>
      </w:tr>
      <w:tr>
        <w:tc>
          <w:tcPr>
            <w:tcW w:type="dxa" w:w="3305"/>
            <w:vAlign w:val="center"/>
          </w:tcPr>
          <w:p>
            <w:pPr>
              <w:spacing w:after="0" w:line="240" w:lineRule="auto"/>
            </w:pPr>
            <w:r/>
            <w:r>
              <w:rPr>
                <w:rFonts w:ascii="Times New Roman" w:hAnsi="Times New Roman" w:eastAsia="Times New Roman"/>
                <w:b w:val="0"/>
                <w:i w:val="0"/>
                <w:sz w:val="18"/>
              </w:rPr>
              <w:t>Cho người khác mượn thẻ/đi hộ cổng</w:t>
            </w:r>
          </w:p>
        </w:tc>
        <w:tc>
          <w:tcPr>
            <w:tcW w:type="dxa" w:w="3305"/>
            <w:vAlign w:val="center"/>
          </w:tcPr>
          <w:p>
            <w:pPr>
              <w:spacing w:after="0" w:line="240" w:lineRule="auto"/>
            </w:pPr>
            <w:r/>
            <w:r>
              <w:rPr>
                <w:rFonts w:ascii="Times New Roman" w:hAnsi="Times New Roman" w:eastAsia="Times New Roman"/>
                <w:b w:val="0"/>
                <w:i w:val="0"/>
                <w:sz w:val="18"/>
              </w:rPr>
              <w:t>Khóa thẻ 03 ngày, xem xét kỷ luật; bồi hoàn thiệt hại nếu phát sinh</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Khách làm mất thẻ khách</w:t>
            </w:r>
          </w:p>
        </w:tc>
        <w:tc>
          <w:tcPr>
            <w:tcW w:type="dxa" w:w="3305"/>
            <w:vAlign w:val="center"/>
          </w:tcPr>
          <w:p>
            <w:pPr>
              <w:spacing w:after="0" w:line="240" w:lineRule="auto"/>
            </w:pPr>
            <w:r/>
            <w:r>
              <w:rPr>
                <w:rFonts w:ascii="Times New Roman" w:hAnsi="Times New Roman" w:eastAsia="Times New Roman"/>
                <w:b w:val="0"/>
                <w:i w:val="0"/>
                <w:sz w:val="18"/>
              </w:rPr>
              <w:t>Nhân viên phụ trách phối hợp bồi hoàn 150.000 đồng/thẻ</w:t>
            </w:r>
          </w:p>
        </w:tc>
        <w:tc>
          <w:tcPr>
            <w:tcW w:type="dxa" w:w="3305"/>
            <w:vAlign w:val="center"/>
          </w:tcPr>
          <w:p>
            <w:pPr>
              <w:spacing w:after="0" w:line="240" w:lineRule="auto"/>
            </w:pPr>
            <w:r/>
            <w:r>
              <w:rPr>
                <w:rFonts w:ascii="Times New Roman" w:hAnsi="Times New Roman" w:eastAsia="Times New Roman"/>
                <w:b w:val="0"/>
                <w:i w:val="0"/>
                <w:sz w:val="18"/>
              </w:rPr>
              <w:t>Trong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SEC-01</w:t>
            </w:r>
          </w:p>
        </w:tc>
        <w:tc>
          <w:tcPr>
            <w:tcW w:type="dxa" w:w="3305"/>
            <w:vAlign w:val="center"/>
          </w:tcPr>
          <w:p>
            <w:pPr>
              <w:spacing w:after="0" w:line="240" w:lineRule="auto"/>
            </w:pPr>
            <w:r/>
            <w:r>
              <w:rPr>
                <w:rFonts w:ascii="Times New Roman" w:hAnsi="Times New Roman" w:eastAsia="Times New Roman"/>
                <w:b w:val="0"/>
                <w:i w:val="0"/>
                <w:sz w:val="18"/>
              </w:rPr>
              <w:t>Phiếu đăng ký khách/đoàn khách</w:t>
            </w:r>
          </w:p>
        </w:tc>
        <w:tc>
          <w:tcPr>
            <w:tcW w:type="dxa" w:w="3305"/>
            <w:vAlign w:val="center"/>
          </w:tcPr>
          <w:p>
            <w:pPr>
              <w:spacing w:after="0" w:line="240" w:lineRule="auto"/>
            </w:pPr>
            <w:r/>
            <w:r>
              <w:rPr>
                <w:rFonts w:ascii="Times New Roman" w:hAnsi="Times New Roman" w:eastAsia="Times New Roman"/>
                <w:b w:val="0"/>
                <w:i w:val="0"/>
                <w:sz w:val="18"/>
              </w:rPr>
              <w:t>Trước khi khách đến</w:t>
            </w:r>
          </w:p>
        </w:tc>
      </w:tr>
      <w:tr>
        <w:tc>
          <w:tcPr>
            <w:tcW w:type="dxa" w:w="3305"/>
            <w:vAlign w:val="center"/>
          </w:tcPr>
          <w:p>
            <w:pPr>
              <w:spacing w:after="0" w:line="240" w:lineRule="auto"/>
            </w:pPr>
            <w:r/>
            <w:r>
              <w:rPr>
                <w:rFonts w:ascii="Times New Roman" w:hAnsi="Times New Roman" w:eastAsia="Times New Roman"/>
                <w:b w:val="0"/>
                <w:i w:val="0"/>
                <w:sz w:val="18"/>
              </w:rPr>
              <w:t>SEC-02</w:t>
            </w:r>
          </w:p>
        </w:tc>
        <w:tc>
          <w:tcPr>
            <w:tcW w:type="dxa" w:w="3305"/>
            <w:vAlign w:val="center"/>
          </w:tcPr>
          <w:p>
            <w:pPr>
              <w:spacing w:after="0" w:line="240" w:lineRule="auto"/>
            </w:pPr>
            <w:r/>
            <w:r>
              <w:rPr>
                <w:rFonts w:ascii="Times New Roman" w:hAnsi="Times New Roman" w:eastAsia="Times New Roman"/>
                <w:b w:val="0"/>
                <w:i w:val="0"/>
                <w:sz w:val="18"/>
              </w:rPr>
              <w:t>Phiếu báo mất thẻ và đề nghị cấp lại</w:t>
            </w:r>
          </w:p>
        </w:tc>
        <w:tc>
          <w:tcPr>
            <w:tcW w:type="dxa" w:w="3305"/>
            <w:vAlign w:val="center"/>
          </w:tcPr>
          <w:p>
            <w:pPr>
              <w:spacing w:after="0" w:line="240" w:lineRule="auto"/>
            </w:pPr>
            <w:r/>
            <w:r>
              <w:rPr>
                <w:rFonts w:ascii="Times New Roman" w:hAnsi="Times New Roman" w:eastAsia="Times New Roman"/>
                <w:b w:val="0"/>
                <w:i w:val="0"/>
                <w:sz w:val="18"/>
              </w:rPr>
              <w:t>Trong vòng 30 phút sau khi phát hiện</w:t>
            </w:r>
          </w:p>
        </w:tc>
      </w:tr>
      <w:tr>
        <w:tc>
          <w:tcPr>
            <w:tcW w:type="dxa" w:w="3305"/>
            <w:vAlign w:val="center"/>
          </w:tcPr>
          <w:p>
            <w:pPr>
              <w:spacing w:after="0" w:line="240" w:lineRule="auto"/>
            </w:pPr>
            <w:r/>
            <w:r>
              <w:rPr>
                <w:rFonts w:ascii="Times New Roman" w:hAnsi="Times New Roman" w:eastAsia="Times New Roman"/>
                <w:b w:val="0"/>
                <w:i w:val="0"/>
                <w:sz w:val="18"/>
              </w:rPr>
              <w:t>SEC-03</w:t>
            </w:r>
          </w:p>
        </w:tc>
        <w:tc>
          <w:tcPr>
            <w:tcW w:type="dxa" w:w="3305"/>
            <w:vAlign w:val="center"/>
          </w:tcPr>
          <w:p>
            <w:pPr>
              <w:spacing w:after="0" w:line="240" w:lineRule="auto"/>
            </w:pPr>
            <w:r/>
            <w:r>
              <w:rPr>
                <w:rFonts w:ascii="Times New Roman" w:hAnsi="Times New Roman" w:eastAsia="Times New Roman"/>
                <w:b w:val="0"/>
                <w:i w:val="0"/>
                <w:sz w:val="18"/>
              </w:rPr>
              <w:t>Phiếu đăng ký mang thiết bị/tài sản ra ngoài</w:t>
            </w:r>
          </w:p>
        </w:tc>
        <w:tc>
          <w:tcPr>
            <w:tcW w:type="dxa" w:w="3305"/>
            <w:vAlign w:val="center"/>
          </w:tcPr>
          <w:p>
            <w:pPr>
              <w:spacing w:after="0" w:line="240" w:lineRule="auto"/>
            </w:pPr>
            <w:r/>
            <w:r>
              <w:rPr>
                <w:rFonts w:ascii="Times New Roman" w:hAnsi="Times New Roman" w:eastAsia="Times New Roman"/>
                <w:b w:val="0"/>
                <w:i w:val="0"/>
                <w:sz w:val="18"/>
              </w:rPr>
              <w:t>Trước khi qua cổng</w:t>
            </w:r>
          </w:p>
        </w:tc>
      </w:tr>
      <w:tr>
        <w:tc>
          <w:tcPr>
            <w:tcW w:type="dxa" w:w="3305"/>
            <w:vAlign w:val="center"/>
          </w:tcPr>
          <w:p>
            <w:pPr>
              <w:spacing w:after="0" w:line="240" w:lineRule="auto"/>
            </w:pPr>
            <w:r/>
            <w:r>
              <w:rPr>
                <w:rFonts w:ascii="Times New Roman" w:hAnsi="Times New Roman" w:eastAsia="Times New Roman"/>
                <w:b w:val="0"/>
                <w:i w:val="0"/>
                <w:sz w:val="18"/>
              </w:rPr>
              <w:t>SEC-04</w:t>
            </w:r>
          </w:p>
        </w:tc>
        <w:tc>
          <w:tcPr>
            <w:tcW w:type="dxa" w:w="3305"/>
            <w:vAlign w:val="center"/>
          </w:tcPr>
          <w:p>
            <w:pPr>
              <w:spacing w:after="0" w:line="240" w:lineRule="auto"/>
            </w:pPr>
            <w:r/>
            <w:r>
              <w:rPr>
                <w:rFonts w:ascii="Times New Roman" w:hAnsi="Times New Roman" w:eastAsia="Times New Roman"/>
                <w:b w:val="0"/>
                <w:i w:val="0"/>
                <w:sz w:val="18"/>
              </w:rPr>
              <w:t>Biên bản sự cố an ninh</w:t>
            </w:r>
          </w:p>
        </w:tc>
        <w:tc>
          <w:tcPr>
            <w:tcW w:type="dxa" w:w="3305"/>
            <w:vAlign w:val="center"/>
          </w:tcPr>
          <w:p>
            <w:pPr>
              <w:spacing w:after="0" w:line="240" w:lineRule="auto"/>
            </w:pPr>
            <w:r/>
            <w:r>
              <w:rPr>
                <w:rFonts w:ascii="Times New Roman" w:hAnsi="Times New Roman" w:eastAsia="Times New Roman"/>
                <w:b w:val="0"/>
                <w:i w:val="0"/>
                <w:sz w:val="18"/>
              </w:rPr>
              <w:t>Ngay khi phát hiện sự cố</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an ninh, ra vào, thẻ nhân viên, khách và camera. Các thời hạn dưới đây là căn cứ để người lao động, quản lý trực tiếp và Phòng Hành chính - An ninh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Hành chính - An ninh</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Hành chính - An ninh kiểm tra nhanh việc tuân thủ trong phạm vi an ninh, ra vào, thẻ nhân viên, khách và camera.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SEC-01</w:t>
            </w:r>
          </w:p>
        </w:tc>
        <w:tc>
          <w:tcPr>
            <w:tcW w:type="dxa" w:w="3305"/>
            <w:vAlign w:val="center"/>
          </w:tcPr>
          <w:p>
            <w:pPr>
              <w:spacing w:after="0" w:line="240" w:lineRule="auto"/>
            </w:pPr>
            <w:r/>
            <w:r>
              <w:rPr>
                <w:rFonts w:ascii="Times New Roman" w:hAnsi="Times New Roman" w:eastAsia="Times New Roman"/>
                <w:b w:val="0"/>
                <w:i w:val="0"/>
                <w:sz w:val="17"/>
              </w:rPr>
              <w:t>Phiếu đăng ký khách/đoàn khách</w:t>
            </w:r>
          </w:p>
        </w:tc>
        <w:tc>
          <w:tcPr>
            <w:tcW w:type="dxa" w:w="3305"/>
            <w:vAlign w:val="center"/>
          </w:tcPr>
          <w:p>
            <w:pPr>
              <w:spacing w:after="0" w:line="240" w:lineRule="auto"/>
            </w:pPr>
            <w:r/>
            <w:r>
              <w:rPr>
                <w:rFonts w:ascii="Times New Roman" w:hAnsi="Times New Roman" w:eastAsia="Times New Roman"/>
                <w:b w:val="0"/>
                <w:i w:val="0"/>
                <w:sz w:val="17"/>
              </w:rPr>
              <w:t>Trước khi khách đến</w:t>
            </w:r>
          </w:p>
        </w:tc>
      </w:tr>
      <w:tr>
        <w:tc>
          <w:tcPr>
            <w:tcW w:type="dxa" w:w="3305"/>
            <w:vAlign w:val="center"/>
          </w:tcPr>
          <w:p>
            <w:pPr>
              <w:spacing w:after="0" w:line="240" w:lineRule="auto"/>
            </w:pPr>
            <w:r/>
            <w:r>
              <w:rPr>
                <w:rFonts w:ascii="Times New Roman" w:hAnsi="Times New Roman" w:eastAsia="Times New Roman"/>
                <w:b w:val="0"/>
                <w:i w:val="0"/>
                <w:sz w:val="17"/>
              </w:rPr>
              <w:t>SEC-02</w:t>
            </w:r>
          </w:p>
        </w:tc>
        <w:tc>
          <w:tcPr>
            <w:tcW w:type="dxa" w:w="3305"/>
            <w:vAlign w:val="center"/>
          </w:tcPr>
          <w:p>
            <w:pPr>
              <w:spacing w:after="0" w:line="240" w:lineRule="auto"/>
            </w:pPr>
            <w:r/>
            <w:r>
              <w:rPr>
                <w:rFonts w:ascii="Times New Roman" w:hAnsi="Times New Roman" w:eastAsia="Times New Roman"/>
                <w:b w:val="0"/>
                <w:i w:val="0"/>
                <w:sz w:val="17"/>
              </w:rPr>
              <w:t>Phiếu báo mất thẻ và đề nghị cấp lại</w:t>
            </w:r>
          </w:p>
        </w:tc>
        <w:tc>
          <w:tcPr>
            <w:tcW w:type="dxa" w:w="3305"/>
            <w:vAlign w:val="center"/>
          </w:tcPr>
          <w:p>
            <w:pPr>
              <w:spacing w:after="0" w:line="240" w:lineRule="auto"/>
            </w:pPr>
            <w:r/>
            <w:r>
              <w:rPr>
                <w:rFonts w:ascii="Times New Roman" w:hAnsi="Times New Roman" w:eastAsia="Times New Roman"/>
                <w:b w:val="0"/>
                <w:i w:val="0"/>
                <w:sz w:val="17"/>
              </w:rPr>
              <w:t>Trong vòng 30 phút sau khi phát hiện</w:t>
            </w:r>
          </w:p>
        </w:tc>
      </w:tr>
      <w:tr>
        <w:tc>
          <w:tcPr>
            <w:tcW w:type="dxa" w:w="3305"/>
            <w:vAlign w:val="center"/>
          </w:tcPr>
          <w:p>
            <w:pPr>
              <w:spacing w:after="0" w:line="240" w:lineRule="auto"/>
            </w:pPr>
            <w:r/>
            <w:r>
              <w:rPr>
                <w:rFonts w:ascii="Times New Roman" w:hAnsi="Times New Roman" w:eastAsia="Times New Roman"/>
                <w:b w:val="0"/>
                <w:i w:val="0"/>
                <w:sz w:val="17"/>
              </w:rPr>
              <w:t>SEC-03</w:t>
            </w:r>
          </w:p>
        </w:tc>
        <w:tc>
          <w:tcPr>
            <w:tcW w:type="dxa" w:w="3305"/>
            <w:vAlign w:val="center"/>
          </w:tcPr>
          <w:p>
            <w:pPr>
              <w:spacing w:after="0" w:line="240" w:lineRule="auto"/>
            </w:pPr>
            <w:r/>
            <w:r>
              <w:rPr>
                <w:rFonts w:ascii="Times New Roman" w:hAnsi="Times New Roman" w:eastAsia="Times New Roman"/>
                <w:b w:val="0"/>
                <w:i w:val="0"/>
                <w:sz w:val="17"/>
              </w:rPr>
              <w:t>Phiếu đăng ký mang thiết bị/tài sản ra ngoài</w:t>
            </w:r>
          </w:p>
        </w:tc>
        <w:tc>
          <w:tcPr>
            <w:tcW w:type="dxa" w:w="3305"/>
            <w:vAlign w:val="center"/>
          </w:tcPr>
          <w:p>
            <w:pPr>
              <w:spacing w:after="0" w:line="240" w:lineRule="auto"/>
            </w:pPr>
            <w:r/>
            <w:r>
              <w:rPr>
                <w:rFonts w:ascii="Times New Roman" w:hAnsi="Times New Roman" w:eastAsia="Times New Roman"/>
                <w:b w:val="0"/>
                <w:i w:val="0"/>
                <w:sz w:val="17"/>
              </w:rPr>
              <w:t>Trước khi qua cổng</w:t>
            </w:r>
          </w:p>
        </w:tc>
      </w:tr>
      <w:tr>
        <w:tc>
          <w:tcPr>
            <w:tcW w:type="dxa" w:w="3305"/>
            <w:vAlign w:val="center"/>
          </w:tcPr>
          <w:p>
            <w:pPr>
              <w:spacing w:after="0" w:line="240" w:lineRule="auto"/>
            </w:pPr>
            <w:r/>
            <w:r>
              <w:rPr>
                <w:rFonts w:ascii="Times New Roman" w:hAnsi="Times New Roman" w:eastAsia="Times New Roman"/>
                <w:b w:val="0"/>
                <w:i w:val="0"/>
                <w:sz w:val="17"/>
              </w:rPr>
              <w:t>SEC-04</w:t>
            </w:r>
          </w:p>
        </w:tc>
        <w:tc>
          <w:tcPr>
            <w:tcW w:type="dxa" w:w="3305"/>
            <w:vAlign w:val="center"/>
          </w:tcPr>
          <w:p>
            <w:pPr>
              <w:spacing w:after="0" w:line="240" w:lineRule="auto"/>
            </w:pPr>
            <w:r/>
            <w:r>
              <w:rPr>
                <w:rFonts w:ascii="Times New Roman" w:hAnsi="Times New Roman" w:eastAsia="Times New Roman"/>
                <w:b w:val="0"/>
                <w:i w:val="0"/>
                <w:sz w:val="17"/>
              </w:rPr>
              <w:t>Biên bản sự cố an ninh</w:t>
            </w:r>
          </w:p>
        </w:tc>
        <w:tc>
          <w:tcPr>
            <w:tcW w:type="dxa" w:w="3305"/>
            <w:vAlign w:val="center"/>
          </w:tcPr>
          <w:p>
            <w:pPr>
              <w:spacing w:after="0" w:line="240" w:lineRule="auto"/>
            </w:pPr>
            <w:r/>
            <w:r>
              <w:rPr>
                <w:rFonts w:ascii="Times New Roman" w:hAnsi="Times New Roman" w:eastAsia="Times New Roman"/>
                <w:b w:val="0"/>
                <w:i w:val="0"/>
                <w:sz w:val="17"/>
              </w:rPr>
              <w:t>Ngay khi phát hiện sự cố</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Mất thẻ nhân viên lần 1</w:t>
            </w:r>
          </w:p>
        </w:tc>
        <w:tc>
          <w:tcPr>
            <w:tcW w:type="dxa" w:w="3305"/>
            <w:vAlign w:val="center"/>
          </w:tcPr>
          <w:p>
            <w:pPr>
              <w:spacing w:after="0" w:line="240" w:lineRule="auto"/>
            </w:pPr>
            <w:r/>
            <w:r>
              <w:rPr>
                <w:rFonts w:ascii="Times New Roman" w:hAnsi="Times New Roman" w:eastAsia="Times New Roman"/>
                <w:b w:val="0"/>
                <w:i w:val="0"/>
                <w:sz w:val="17"/>
              </w:rPr>
              <w:t>Phí cấp lại 100.000 đồng/thẻ; khóa thẻ cũ ngay khi báo mất</w:t>
            </w:r>
          </w:p>
        </w:tc>
        <w:tc>
          <w:tcPr>
            <w:tcW w:type="dxa" w:w="3305"/>
            <w:vAlign w:val="center"/>
          </w:tcPr>
          <w:p>
            <w:pPr>
              <w:spacing w:after="0" w:line="240" w:lineRule="auto"/>
            </w:pPr>
            <w:r/>
            <w:r>
              <w:rPr>
                <w:rFonts w:ascii="Times New Roman" w:hAnsi="Times New Roman" w:eastAsia="Times New Roman"/>
                <w:b w:val="0"/>
                <w:i w:val="0"/>
                <w:sz w:val="17"/>
              </w:rPr>
              <w:t>01 ngày</w:t>
            </w:r>
          </w:p>
        </w:tc>
      </w:tr>
      <w:tr>
        <w:tc>
          <w:tcPr>
            <w:tcW w:type="dxa" w:w="3305"/>
            <w:vAlign w:val="center"/>
          </w:tcPr>
          <w:p>
            <w:pPr>
              <w:spacing w:after="0" w:line="240" w:lineRule="auto"/>
            </w:pPr>
            <w:r/>
            <w:r>
              <w:rPr>
                <w:rFonts w:ascii="Times New Roman" w:hAnsi="Times New Roman" w:eastAsia="Times New Roman"/>
                <w:b w:val="0"/>
                <w:i w:val="0"/>
                <w:sz w:val="17"/>
              </w:rPr>
              <w:t>Mất thẻ từ lần 2 trong 12 tháng</w:t>
            </w:r>
          </w:p>
        </w:tc>
        <w:tc>
          <w:tcPr>
            <w:tcW w:type="dxa" w:w="3305"/>
            <w:vAlign w:val="center"/>
          </w:tcPr>
          <w:p>
            <w:pPr>
              <w:spacing w:after="0" w:line="240" w:lineRule="auto"/>
            </w:pPr>
            <w:r/>
            <w:r>
              <w:rPr>
                <w:rFonts w:ascii="Times New Roman" w:hAnsi="Times New Roman" w:eastAsia="Times New Roman"/>
                <w:b w:val="0"/>
                <w:i w:val="0"/>
                <w:sz w:val="17"/>
              </w:rPr>
              <w:t>Phí cấp lại 200.000 đồng/thẻ và nhắc nhở bằng văn bản</w:t>
            </w:r>
          </w:p>
        </w:tc>
        <w:tc>
          <w:tcPr>
            <w:tcW w:type="dxa" w:w="3305"/>
            <w:vAlign w:val="center"/>
          </w:tcPr>
          <w:p>
            <w:pPr>
              <w:spacing w:after="0" w:line="240" w:lineRule="auto"/>
            </w:pPr>
            <w:r/>
            <w:r>
              <w:rPr>
                <w:rFonts w:ascii="Times New Roman" w:hAnsi="Times New Roman" w:eastAsia="Times New Roman"/>
                <w:b w:val="0"/>
                <w:i w:val="0"/>
                <w:sz w:val="17"/>
              </w:rPr>
              <w:t>01 ngày</w:t>
            </w:r>
          </w:p>
        </w:tc>
      </w:tr>
      <w:tr>
        <w:tc>
          <w:tcPr>
            <w:tcW w:type="dxa" w:w="3305"/>
            <w:vAlign w:val="center"/>
          </w:tcPr>
          <w:p>
            <w:pPr>
              <w:spacing w:after="0" w:line="240" w:lineRule="auto"/>
            </w:pPr>
            <w:r/>
            <w:r>
              <w:rPr>
                <w:rFonts w:ascii="Times New Roman" w:hAnsi="Times New Roman" w:eastAsia="Times New Roman"/>
                <w:b w:val="0"/>
                <w:i w:val="0"/>
                <w:sz w:val="17"/>
              </w:rPr>
              <w:t>Cho người khác mượn thẻ/đi hộ cổng</w:t>
            </w:r>
          </w:p>
        </w:tc>
        <w:tc>
          <w:tcPr>
            <w:tcW w:type="dxa" w:w="3305"/>
            <w:vAlign w:val="center"/>
          </w:tcPr>
          <w:p>
            <w:pPr>
              <w:spacing w:after="0" w:line="240" w:lineRule="auto"/>
            </w:pPr>
            <w:r/>
            <w:r>
              <w:rPr>
                <w:rFonts w:ascii="Times New Roman" w:hAnsi="Times New Roman" w:eastAsia="Times New Roman"/>
                <w:b w:val="0"/>
                <w:i w:val="0"/>
                <w:sz w:val="17"/>
              </w:rPr>
              <w:t>Khóa thẻ 03 ngày, xem xét kỷ luật; bồi hoàn thiệt hại nếu phát sinh</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Khách làm mất thẻ khách</w:t>
            </w:r>
          </w:p>
        </w:tc>
        <w:tc>
          <w:tcPr>
            <w:tcW w:type="dxa" w:w="3305"/>
            <w:vAlign w:val="center"/>
          </w:tcPr>
          <w:p>
            <w:pPr>
              <w:spacing w:after="0" w:line="240" w:lineRule="auto"/>
            </w:pPr>
            <w:r/>
            <w:r>
              <w:rPr>
                <w:rFonts w:ascii="Times New Roman" w:hAnsi="Times New Roman" w:eastAsia="Times New Roman"/>
                <w:b w:val="0"/>
                <w:i w:val="0"/>
                <w:sz w:val="17"/>
              </w:rPr>
              <w:t>Nhân viên phụ trách phối hợp bồi hoàn 150.000 đồng/thẻ</w:t>
            </w:r>
          </w:p>
        </w:tc>
        <w:tc>
          <w:tcPr>
            <w:tcW w:type="dxa" w:w="3305"/>
            <w:vAlign w:val="center"/>
          </w:tcPr>
          <w:p>
            <w:pPr>
              <w:spacing w:after="0" w:line="240" w:lineRule="auto"/>
            </w:pPr>
            <w:r/>
            <w:r>
              <w:rPr>
                <w:rFonts w:ascii="Times New Roman" w:hAnsi="Times New Roman" w:eastAsia="Times New Roman"/>
                <w:b w:val="0"/>
                <w:i w:val="0"/>
                <w:sz w:val="17"/>
              </w:rPr>
              <w:t>Trong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Hành chính - An ninh</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VSF-HC-02-V2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