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03/2026/QĐ-VSF-HC-03</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ĐỊNH</w:t>
      </w:r>
    </w:p>
    <w:p>
      <w:pPr>
        <w:spacing w:after="200" w:before="0" w:line="269" w:lineRule="auto"/>
        <w:jc w:val="center"/>
      </w:pPr>
      <w:r>
        <w:rPr>
          <w:rFonts w:ascii="Times New Roman" w:hAnsi="Times New Roman" w:eastAsia="Times New Roman"/>
          <w:b/>
          <w:i w:val="0"/>
          <w:sz w:val="36"/>
        </w:rPr>
        <w:t>QUY ĐỊNH QUẢN LÝ TÀI SẢN, VỆ SINH KHU VỰC DÙNG CHUNG VÀ TIẾT KIỆM NĂNG LƯỢNG</w:t>
      </w:r>
    </w:p>
    <w:p>
      <w:pPr>
        <w:spacing w:after="100" w:before="0" w:line="269" w:lineRule="auto"/>
        <w:jc w:val="center"/>
      </w:pPr>
      <w:r>
        <w:rPr>
          <w:rFonts w:ascii="Times New Roman" w:hAnsi="Times New Roman" w:eastAsia="Times New Roman"/>
          <w:b w:val="0"/>
          <w:i/>
          <w:sz w:val="24"/>
        </w:rPr>
        <w:t>(Ban hành kèm theo Quyết định số 03/2026/QĐ-VSF-HC-03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VSF-HC-03-V2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Hành chính - Cơ sở vật chất</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03/2026/QĐ-VSF-HC-03</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định quy định quản lý tài sản, vệ sinh khu vực dùng chung và tiết kiệm năng lượng</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định “Quy định quản lý tài sản, vệ sinh khu vực dùng chung và tiết kiệm năng lượng”.</w:t>
      </w:r>
    </w:p>
    <w:p>
      <w:pPr>
        <w:spacing w:after="100" w:before="0" w:line="269" w:lineRule="auto"/>
      </w:pPr>
      <w:r>
        <w:rPr>
          <w:rFonts w:ascii="Times New Roman" w:hAnsi="Times New Roman" w:eastAsia="Times New Roman"/>
          <w:b w:val="0"/>
          <w:i w:val="0"/>
          <w:sz w:val="24"/>
        </w:rPr>
        <w:t>Điều 2. Phòng Hành chính - Cơ sở vật chất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Tài Sản, Vệ Sinh Và Năng Lượng</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quản lý tài sản, vệ sinh pantry/nhà vệ sinh, thiết bị phòng họp và tiết kiệm năng lượng.</w:t>
      </w:r>
    </w:p>
    <w:p>
      <w:pPr>
        <w:spacing w:after="80" w:before="0" w:line="269" w:lineRule="auto"/>
        <w:ind w:firstLine="283"/>
      </w:pPr>
      <w:r>
        <w:rPr>
          <w:rFonts w:ascii="Times New Roman" w:hAnsi="Times New Roman" w:eastAsia="Times New Roman"/>
          <w:b w:val="0"/>
          <w:i w:val="0"/>
          <w:sz w:val="24"/>
        </w:rPr>
        <w:t>2. Nội dung chỉ áp dụng trong phạm vi quản lý tài sản, vệ sinh pantry/nhà vệ sinh, thiết bị phòng họp và tiết kiệm năng lượng;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Hành chính - Cơ sở vật chất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TÀI SẢN, VỆ SINH VÀ NĂNG LƯỢNG</w:t>
      </w:r>
    </w:p>
    <w:p>
      <w:pPr>
        <w:spacing w:after="100" w:before="80" w:line="269" w:lineRule="auto"/>
      </w:pPr>
      <w:r>
        <w:rPr>
          <w:rFonts w:ascii="Times New Roman" w:hAnsi="Times New Roman" w:eastAsia="Times New Roman"/>
          <w:b/>
          <w:i w:val="0"/>
          <w:sz w:val="26"/>
        </w:rPr>
        <w:t>Điều 5. Quản lý tài sản và thiết bị dùng chung</w:t>
      </w:r>
    </w:p>
    <w:p>
      <w:pPr>
        <w:spacing w:after="80" w:before="0" w:line="269" w:lineRule="auto"/>
        <w:ind w:firstLine="283"/>
      </w:pPr>
      <w:r>
        <w:rPr>
          <w:rFonts w:ascii="Times New Roman" w:hAnsi="Times New Roman" w:eastAsia="Times New Roman"/>
          <w:b w:val="0"/>
          <w:i w:val="0"/>
          <w:sz w:val="24"/>
        </w:rPr>
        <w:t>1. Tài sản Công ty phải được dán mã, ghi nhận người quản lý, vị trí đặt và tình trạng sử dụng trên sổ tài sản hoặc hệ thống ERP.</w:t>
      </w:r>
    </w:p>
    <w:p>
      <w:pPr>
        <w:spacing w:after="80" w:before="0" w:line="269" w:lineRule="auto"/>
        <w:ind w:firstLine="283"/>
      </w:pPr>
      <w:r>
        <w:rPr>
          <w:rFonts w:ascii="Times New Roman" w:hAnsi="Times New Roman" w:eastAsia="Times New Roman"/>
          <w:b w:val="0"/>
          <w:i w:val="0"/>
          <w:sz w:val="24"/>
        </w:rPr>
        <w:t>2. Thiết bị phòng họp gồm màn hình, loa, webcam, micro, điều khiển, clicker và bộ chuyển đổi phải được kiểm tra trước và sau mỗi cuộc họp.</w:t>
      </w:r>
    </w:p>
    <w:p>
      <w:pPr>
        <w:spacing w:after="80" w:before="0" w:line="269" w:lineRule="auto"/>
        <w:ind w:firstLine="283"/>
      </w:pPr>
      <w:r>
        <w:rPr>
          <w:rFonts w:ascii="Times New Roman" w:hAnsi="Times New Roman" w:eastAsia="Times New Roman"/>
          <w:b w:val="0"/>
          <w:i w:val="0"/>
          <w:sz w:val="24"/>
        </w:rPr>
        <w:t>3. Nhân sự sử dụng thiết bị phải hoàn trả đúng vị trí trong vòng 30 phút sau khi kết thúc cuộc họp hoặc ca sử dụng.</w:t>
      </w:r>
    </w:p>
    <w:p>
      <w:pPr>
        <w:spacing w:after="80" w:before="0" w:line="269" w:lineRule="auto"/>
        <w:ind w:firstLine="283"/>
      </w:pPr>
      <w:r>
        <w:rPr>
          <w:rFonts w:ascii="Times New Roman" w:hAnsi="Times New Roman" w:eastAsia="Times New Roman"/>
          <w:b w:val="0"/>
          <w:i w:val="0"/>
          <w:sz w:val="24"/>
        </w:rPr>
        <w:t>4. Không tự ý tháo lắp, điều chuyển, cho mượn, thanh lý, sửa chữa tài sản nếu chưa có phiếu phê duyệt.</w:t>
      </w:r>
    </w:p>
    <w:p>
      <w:pPr>
        <w:spacing w:after="100" w:before="80" w:line="269" w:lineRule="auto"/>
      </w:pPr>
      <w:r>
        <w:rPr>
          <w:rFonts w:ascii="Times New Roman" w:hAnsi="Times New Roman" w:eastAsia="Times New Roman"/>
          <w:b/>
          <w:i w:val="0"/>
          <w:sz w:val="26"/>
        </w:rPr>
        <w:t>Điều 6. Quy trình mượn và trả thiết bị phòng họp</w:t>
      </w:r>
    </w:p>
    <w:p>
      <w:pPr>
        <w:spacing w:after="80" w:before="0" w:line="269" w:lineRule="auto"/>
        <w:ind w:firstLine="283"/>
      </w:pPr>
      <w:r>
        <w:rPr>
          <w:rFonts w:ascii="Times New Roman" w:hAnsi="Times New Roman" w:eastAsia="Times New Roman"/>
          <w:b w:val="0"/>
          <w:i w:val="0"/>
          <w:sz w:val="24"/>
        </w:rPr>
        <w:t>1. Lịch phòng họp phải được đặt trên hệ thống trước tối thiểu 30 phút; cuộc họp từ 15 người trở lên hoặc có khách ngoài phải đặt trước 04 giờ làm việc.</w:t>
      </w:r>
    </w:p>
    <w:p>
      <w:pPr>
        <w:spacing w:after="80" w:before="0" w:line="269" w:lineRule="auto"/>
        <w:ind w:firstLine="283"/>
      </w:pPr>
      <w:r>
        <w:rPr>
          <w:rFonts w:ascii="Times New Roman" w:hAnsi="Times New Roman" w:eastAsia="Times New Roman"/>
          <w:b w:val="0"/>
          <w:i w:val="0"/>
          <w:sz w:val="24"/>
        </w:rPr>
        <w:t>2. Thiết bị trình chiếu, webcam, micro rời hoặc bộ chuyển đổi phải đăng ký trong yêu cầu đặt phòng và được Hành chính xác nhận.</w:t>
      </w:r>
    </w:p>
    <w:p>
      <w:pPr>
        <w:spacing w:after="80" w:before="0" w:line="269" w:lineRule="auto"/>
        <w:ind w:firstLine="283"/>
      </w:pPr>
      <w:r>
        <w:rPr>
          <w:rFonts w:ascii="Times New Roman" w:hAnsi="Times New Roman" w:eastAsia="Times New Roman"/>
          <w:b w:val="0"/>
          <w:i w:val="0"/>
          <w:sz w:val="24"/>
        </w:rPr>
        <w:t>3. Người đặt phòng chịu trách nhiệm về vệ sinh, tài sản, tắt điện/điều hòa và trả thiết bị trong tình trạng ban đầu.</w:t>
      </w:r>
    </w:p>
    <w:p>
      <w:pPr>
        <w:spacing w:after="80" w:before="0" w:line="269" w:lineRule="auto"/>
        <w:ind w:firstLine="283"/>
      </w:pPr>
      <w:r>
        <w:rPr>
          <w:rFonts w:ascii="Times New Roman" w:hAnsi="Times New Roman" w:eastAsia="Times New Roman"/>
          <w:b w:val="0"/>
          <w:i w:val="0"/>
          <w:sz w:val="24"/>
        </w:rPr>
        <w:t>4. Nếu phát hiện thiết bị hỏng, thiếu hoặc thất lạc, người sử dụng phải báo Hành chính trong vòng 02 giờ làm việc.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Thiết bị</w:t>
            </w:r>
          </w:p>
        </w:tc>
        <w:tc>
          <w:tcPr>
            <w:tcW w:type="dxa" w:w="3305"/>
            <w:vAlign w:val="center"/>
          </w:tcPr>
          <w:p>
            <w:pPr>
              <w:spacing w:after="0" w:line="240" w:lineRule="auto"/>
              <w:jc w:val="center"/>
            </w:pPr>
            <w:r/>
            <w:r>
              <w:rPr>
                <w:rFonts w:ascii="Times New Roman" w:hAnsi="Times New Roman" w:eastAsia="Times New Roman"/>
                <w:b/>
                <w:i w:val="0"/>
                <w:sz w:val="18"/>
              </w:rPr>
              <w:t>Định mức kiểm soát</w:t>
            </w:r>
          </w:p>
        </w:tc>
        <w:tc>
          <w:tcPr>
            <w:tcW w:type="dxa" w:w="3305"/>
            <w:vAlign w:val="center"/>
          </w:tcPr>
          <w:p>
            <w:pPr>
              <w:spacing w:after="0" w:line="240" w:lineRule="auto"/>
              <w:jc w:val="center"/>
            </w:pPr>
            <w:r/>
            <w:r>
              <w:rPr>
                <w:rFonts w:ascii="Times New Roman" w:hAnsi="Times New Roman" w:eastAsia="Times New Roman"/>
                <w:b/>
                <w:i w:val="0"/>
                <w:sz w:val="18"/>
              </w:rPr>
              <w:t>Bồi hoàn tham chiếu nếu mất/hỏng do lỗi cá nhân</w:t>
            </w:r>
          </w:p>
        </w:tc>
      </w:tr>
      <w:tr>
        <w:tc>
          <w:tcPr>
            <w:tcW w:type="dxa" w:w="3305"/>
            <w:vAlign w:val="center"/>
          </w:tcPr>
          <w:p>
            <w:pPr>
              <w:spacing w:after="0" w:line="240" w:lineRule="auto"/>
            </w:pPr>
            <w:r/>
            <w:r>
              <w:rPr>
                <w:rFonts w:ascii="Times New Roman" w:hAnsi="Times New Roman" w:eastAsia="Times New Roman"/>
                <w:b w:val="0"/>
                <w:i w:val="0"/>
                <w:sz w:val="18"/>
              </w:rPr>
              <w:t>Clicker trình chiếu</w:t>
            </w:r>
          </w:p>
        </w:tc>
        <w:tc>
          <w:tcPr>
            <w:tcW w:type="dxa" w:w="3305"/>
            <w:vAlign w:val="center"/>
          </w:tcPr>
          <w:p>
            <w:pPr>
              <w:spacing w:after="0" w:line="240" w:lineRule="auto"/>
            </w:pPr>
            <w:r/>
            <w:r>
              <w:rPr>
                <w:rFonts w:ascii="Times New Roman" w:hAnsi="Times New Roman" w:eastAsia="Times New Roman"/>
                <w:b w:val="0"/>
                <w:i w:val="0"/>
                <w:sz w:val="18"/>
              </w:rPr>
              <w:t>01 chiếc/phòng họp</w:t>
            </w:r>
          </w:p>
        </w:tc>
        <w:tc>
          <w:tcPr>
            <w:tcW w:type="dxa" w:w="3305"/>
            <w:vAlign w:val="center"/>
          </w:tcPr>
          <w:p>
            <w:pPr>
              <w:spacing w:after="0" w:line="240" w:lineRule="auto"/>
            </w:pPr>
            <w:r/>
            <w:r>
              <w:rPr>
                <w:rFonts w:ascii="Times New Roman" w:hAnsi="Times New Roman" w:eastAsia="Times New Roman"/>
                <w:b w:val="0"/>
                <w:i w:val="0"/>
                <w:sz w:val="18"/>
              </w:rPr>
              <w:t>300.000 đồng/chiếc</w:t>
            </w:r>
          </w:p>
        </w:tc>
      </w:tr>
      <w:tr>
        <w:tc>
          <w:tcPr>
            <w:tcW w:type="dxa" w:w="3305"/>
            <w:vAlign w:val="center"/>
          </w:tcPr>
          <w:p>
            <w:pPr>
              <w:spacing w:after="0" w:line="240" w:lineRule="auto"/>
            </w:pPr>
            <w:r/>
            <w:r>
              <w:rPr>
                <w:rFonts w:ascii="Times New Roman" w:hAnsi="Times New Roman" w:eastAsia="Times New Roman"/>
                <w:b w:val="0"/>
                <w:i w:val="0"/>
                <w:sz w:val="18"/>
              </w:rPr>
              <w:t>Bộ chuyển HDMI/Type-C</w:t>
            </w:r>
          </w:p>
        </w:tc>
        <w:tc>
          <w:tcPr>
            <w:tcW w:type="dxa" w:w="3305"/>
            <w:vAlign w:val="center"/>
          </w:tcPr>
          <w:p>
            <w:pPr>
              <w:spacing w:after="0" w:line="240" w:lineRule="auto"/>
            </w:pPr>
            <w:r/>
            <w:r>
              <w:rPr>
                <w:rFonts w:ascii="Times New Roman" w:hAnsi="Times New Roman" w:eastAsia="Times New Roman"/>
                <w:b w:val="0"/>
                <w:i w:val="0"/>
                <w:sz w:val="18"/>
              </w:rPr>
              <w:t>02 bộ/phòng họp lớn</w:t>
            </w:r>
          </w:p>
        </w:tc>
        <w:tc>
          <w:tcPr>
            <w:tcW w:type="dxa" w:w="3305"/>
            <w:vAlign w:val="center"/>
          </w:tcPr>
          <w:p>
            <w:pPr>
              <w:spacing w:after="0" w:line="240" w:lineRule="auto"/>
            </w:pPr>
            <w:r/>
            <w:r>
              <w:rPr>
                <w:rFonts w:ascii="Times New Roman" w:hAnsi="Times New Roman" w:eastAsia="Times New Roman"/>
                <w:b w:val="0"/>
                <w:i w:val="0"/>
                <w:sz w:val="18"/>
              </w:rPr>
              <w:t>250.000-500.000 đồng/bộ</w:t>
            </w:r>
          </w:p>
        </w:tc>
      </w:tr>
      <w:tr>
        <w:tc>
          <w:tcPr>
            <w:tcW w:type="dxa" w:w="3305"/>
            <w:vAlign w:val="center"/>
          </w:tcPr>
          <w:p>
            <w:pPr>
              <w:spacing w:after="0" w:line="240" w:lineRule="auto"/>
            </w:pPr>
            <w:r/>
            <w:r>
              <w:rPr>
                <w:rFonts w:ascii="Times New Roman" w:hAnsi="Times New Roman" w:eastAsia="Times New Roman"/>
                <w:b w:val="0"/>
                <w:i w:val="0"/>
                <w:sz w:val="18"/>
              </w:rPr>
              <w:t>Micro/webcam rời</w:t>
            </w:r>
          </w:p>
        </w:tc>
        <w:tc>
          <w:tcPr>
            <w:tcW w:type="dxa" w:w="3305"/>
            <w:vAlign w:val="center"/>
          </w:tcPr>
          <w:p>
            <w:pPr>
              <w:spacing w:after="0" w:line="240" w:lineRule="auto"/>
            </w:pPr>
            <w:r/>
            <w:r>
              <w:rPr>
                <w:rFonts w:ascii="Times New Roman" w:hAnsi="Times New Roman" w:eastAsia="Times New Roman"/>
                <w:b w:val="0"/>
                <w:i w:val="0"/>
                <w:sz w:val="18"/>
              </w:rPr>
              <w:t>Theo phiếu mượn</w:t>
            </w:r>
          </w:p>
        </w:tc>
        <w:tc>
          <w:tcPr>
            <w:tcW w:type="dxa" w:w="3305"/>
            <w:vAlign w:val="center"/>
          </w:tcPr>
          <w:p>
            <w:pPr>
              <w:spacing w:after="0" w:line="240" w:lineRule="auto"/>
            </w:pPr>
            <w:r/>
            <w:r>
              <w:rPr>
                <w:rFonts w:ascii="Times New Roman" w:hAnsi="Times New Roman" w:eastAsia="Times New Roman"/>
                <w:b w:val="0"/>
                <w:i w:val="0"/>
                <w:sz w:val="18"/>
              </w:rPr>
              <w:t>Theo giá trị còn lại, tối thiểu 500.000 đồng</w:t>
            </w:r>
          </w:p>
        </w:tc>
      </w:tr>
      <w:tr>
        <w:tc>
          <w:tcPr>
            <w:tcW w:type="dxa" w:w="3305"/>
            <w:vAlign w:val="center"/>
          </w:tcPr>
          <w:p>
            <w:pPr>
              <w:spacing w:after="0" w:line="240" w:lineRule="auto"/>
            </w:pPr>
            <w:r/>
            <w:r>
              <w:rPr>
                <w:rFonts w:ascii="Times New Roman" w:hAnsi="Times New Roman" w:eastAsia="Times New Roman"/>
                <w:b w:val="0"/>
                <w:i w:val="0"/>
                <w:sz w:val="18"/>
              </w:rPr>
              <w:t>Remote điều hòa/màn hình</w:t>
            </w:r>
          </w:p>
        </w:tc>
        <w:tc>
          <w:tcPr>
            <w:tcW w:type="dxa" w:w="3305"/>
            <w:vAlign w:val="center"/>
          </w:tcPr>
          <w:p>
            <w:pPr>
              <w:spacing w:after="0" w:line="240" w:lineRule="auto"/>
            </w:pPr>
            <w:r/>
            <w:r>
              <w:rPr>
                <w:rFonts w:ascii="Times New Roman" w:hAnsi="Times New Roman" w:eastAsia="Times New Roman"/>
                <w:b w:val="0"/>
                <w:i w:val="0"/>
                <w:sz w:val="18"/>
              </w:rPr>
              <w:t>01 chiếc/phòng</w:t>
            </w:r>
          </w:p>
        </w:tc>
        <w:tc>
          <w:tcPr>
            <w:tcW w:type="dxa" w:w="3305"/>
            <w:vAlign w:val="center"/>
          </w:tcPr>
          <w:p>
            <w:pPr>
              <w:spacing w:after="0" w:line="240" w:lineRule="auto"/>
            </w:pPr>
            <w:r/>
            <w:r>
              <w:rPr>
                <w:rFonts w:ascii="Times New Roman" w:hAnsi="Times New Roman" w:eastAsia="Times New Roman"/>
                <w:b w:val="0"/>
                <w:i w:val="0"/>
                <w:sz w:val="18"/>
              </w:rPr>
              <w:t>200.000-600.000 đồng/chiếc</w:t>
            </w:r>
          </w:p>
        </w:tc>
      </w:tr>
    </w:tbl>
    <w:p>
      <w:pPr>
        <w:spacing w:after="40" w:before="0" w:line="269" w:lineRule="auto"/>
      </w:pPr>
    </w:p>
    <w:p>
      <w:pPr>
        <w:spacing w:after="100" w:before="80" w:line="269" w:lineRule="auto"/>
      </w:pPr>
      <w:r>
        <w:rPr>
          <w:rFonts w:ascii="Times New Roman" w:hAnsi="Times New Roman" w:eastAsia="Times New Roman"/>
          <w:b/>
          <w:i w:val="0"/>
          <w:sz w:val="26"/>
        </w:rPr>
        <w:t>Điều 7. Vệ sinh pantry, nhà vệ sinh và khu vực chung</w:t>
      </w:r>
    </w:p>
    <w:p>
      <w:pPr>
        <w:spacing w:after="80" w:before="0" w:line="269" w:lineRule="auto"/>
        <w:ind w:firstLine="283"/>
      </w:pPr>
      <w:r>
        <w:rPr>
          <w:rFonts w:ascii="Times New Roman" w:hAnsi="Times New Roman" w:eastAsia="Times New Roman"/>
          <w:b w:val="0"/>
          <w:i w:val="0"/>
          <w:sz w:val="24"/>
        </w:rPr>
        <w:t>1. Người sử dụng pantry phải tự dọn đồ ăn, rửa cốc/chén cá nhân, bỏ rác đúng loại và không để thức ăn qua đêm trong tủ lạnh quá 24 giờ.</w:t>
      </w:r>
    </w:p>
    <w:p>
      <w:pPr>
        <w:spacing w:after="80" w:before="0" w:line="269" w:lineRule="auto"/>
        <w:ind w:firstLine="283"/>
      </w:pPr>
      <w:r>
        <w:rPr>
          <w:rFonts w:ascii="Times New Roman" w:hAnsi="Times New Roman" w:eastAsia="Times New Roman"/>
          <w:b w:val="0"/>
          <w:i w:val="0"/>
          <w:sz w:val="24"/>
        </w:rPr>
        <w:t>2. Tủ lạnh pantry được vệ sinh định kỳ vào 16h00 thứ Sáu hằng tuần; thực phẩm không có nhãn tên/ngày gửi hoặc quá 03 ngày sẽ được xử lý.</w:t>
      </w:r>
    </w:p>
    <w:p>
      <w:pPr>
        <w:spacing w:after="80" w:before="0" w:line="269" w:lineRule="auto"/>
        <w:ind w:firstLine="283"/>
      </w:pPr>
      <w:r>
        <w:rPr>
          <w:rFonts w:ascii="Times New Roman" w:hAnsi="Times New Roman" w:eastAsia="Times New Roman"/>
          <w:b w:val="0"/>
          <w:i w:val="0"/>
          <w:sz w:val="24"/>
        </w:rPr>
        <w:t>3. Nhà vệ sinh phải được sử dụng đúng mục đích, không hút thuốc, không bỏ rác gây tắc nghẽn, không làm đổ hóa chất hoặc chất bẩn mà không thông báo.</w:t>
      </w:r>
    </w:p>
    <w:p>
      <w:pPr>
        <w:spacing w:after="80" w:before="0" w:line="269" w:lineRule="auto"/>
        <w:ind w:firstLine="283"/>
      </w:pPr>
      <w:r>
        <w:rPr>
          <w:rFonts w:ascii="Times New Roman" w:hAnsi="Times New Roman" w:eastAsia="Times New Roman"/>
          <w:b w:val="0"/>
          <w:i w:val="0"/>
          <w:sz w:val="24"/>
        </w:rPr>
        <w:t>4. Sự cố vệ sinh nghiêm trọng phải báo Hành chính trong vòng 30 phút để khoanh vùng và xử lý.</w:t>
      </w:r>
    </w:p>
    <w:p>
      <w:pPr>
        <w:spacing w:after="100" w:before="80" w:line="269" w:lineRule="auto"/>
      </w:pPr>
      <w:r>
        <w:rPr>
          <w:rFonts w:ascii="Times New Roman" w:hAnsi="Times New Roman" w:eastAsia="Times New Roman"/>
          <w:b/>
          <w:i w:val="0"/>
          <w:sz w:val="26"/>
        </w:rPr>
        <w:t>Điều 8. Tiết kiệm điện, nước và tắt thiết bị cuối ngày</w:t>
      </w:r>
    </w:p>
    <w:p>
      <w:pPr>
        <w:spacing w:after="80" w:before="0" w:line="269" w:lineRule="auto"/>
        <w:ind w:firstLine="283"/>
      </w:pPr>
      <w:r>
        <w:rPr>
          <w:rFonts w:ascii="Times New Roman" w:hAnsi="Times New Roman" w:eastAsia="Times New Roman"/>
          <w:b w:val="0"/>
          <w:i w:val="0"/>
          <w:sz w:val="24"/>
        </w:rPr>
        <w:t>1. Người cuối cùng rời phòng phải tắt đèn, điều hòa, màn hình, quạt, thiết bị họp và kiểm tra cửa sổ/cửa ra vào.</w:t>
      </w:r>
    </w:p>
    <w:p>
      <w:pPr>
        <w:spacing w:after="80" w:before="0" w:line="269" w:lineRule="auto"/>
        <w:ind w:firstLine="283"/>
      </w:pPr>
      <w:r>
        <w:rPr>
          <w:rFonts w:ascii="Times New Roman" w:hAnsi="Times New Roman" w:eastAsia="Times New Roman"/>
          <w:b w:val="0"/>
          <w:i w:val="0"/>
          <w:sz w:val="24"/>
        </w:rPr>
        <w:t>2. Điều hòa đặt mức 25-27°C; không mở điều hòa khi cửa sổ/cửa chính đang mở quá 05 phút.</w:t>
      </w:r>
    </w:p>
    <w:p>
      <w:pPr>
        <w:spacing w:after="80" w:before="0" w:line="269" w:lineRule="auto"/>
        <w:ind w:firstLine="283"/>
      </w:pPr>
      <w:r>
        <w:rPr>
          <w:rFonts w:ascii="Times New Roman" w:hAnsi="Times New Roman" w:eastAsia="Times New Roman"/>
          <w:b w:val="0"/>
          <w:i w:val="0"/>
          <w:sz w:val="24"/>
        </w:rPr>
        <w:t>3. Thiết bị công suất lớn phải tắt khỏi ổ cắm sau khi sử dụng; sạc pin qua đêm chỉ áp dụng cho thiết bị được IT/Hành chính cho phép.</w:t>
      </w:r>
    </w:p>
    <w:p>
      <w:pPr>
        <w:spacing w:after="80" w:before="0" w:line="269" w:lineRule="auto"/>
        <w:ind w:firstLine="283"/>
      </w:pPr>
      <w:r>
        <w:rPr>
          <w:rFonts w:ascii="Times New Roman" w:hAnsi="Times New Roman" w:eastAsia="Times New Roman"/>
          <w:b w:val="0"/>
          <w:i w:val="0"/>
          <w:sz w:val="24"/>
        </w:rPr>
        <w:t>4. Hành chính kiểm tra ngẫu nhiên sau 18h45 mỗi ngày làm việc và sau ngày thứ Bảy làm việc từ xa/onsite nếu có.</w:t>
      </w:r>
    </w:p>
    <w:p>
      <w:pPr>
        <w:spacing w:after="100" w:before="80" w:line="269" w:lineRule="auto"/>
      </w:pPr>
      <w:r>
        <w:rPr>
          <w:rFonts w:ascii="Times New Roman" w:hAnsi="Times New Roman" w:eastAsia="Times New Roman"/>
          <w:b/>
          <w:i w:val="0"/>
          <w:sz w:val="26"/>
        </w:rPr>
        <w:t>Điều 9. Xử lý tài sản hỏng, mất hoặc phá hoại</w:t>
      </w:r>
    </w:p>
    <w:p>
      <w:pPr>
        <w:spacing w:after="80" w:before="0" w:line="269" w:lineRule="auto"/>
        <w:ind w:firstLine="283"/>
      </w:pPr>
      <w:r>
        <w:rPr>
          <w:rFonts w:ascii="Times New Roman" w:hAnsi="Times New Roman" w:eastAsia="Times New Roman"/>
          <w:b w:val="0"/>
          <w:i w:val="0"/>
          <w:sz w:val="24"/>
        </w:rPr>
        <w:t>1. Người phát hiện tài sản hỏng/mất phải lập phiếu sự cố trong vòng 04 giờ làm việc, kèm hình ảnh, vị trí, thời gian và người sử dụng cuối cùng nếu biết.</w:t>
      </w:r>
    </w:p>
    <w:p>
      <w:pPr>
        <w:spacing w:after="80" w:before="0" w:line="269" w:lineRule="auto"/>
        <w:ind w:firstLine="283"/>
      </w:pPr>
      <w:r>
        <w:rPr>
          <w:rFonts w:ascii="Times New Roman" w:hAnsi="Times New Roman" w:eastAsia="Times New Roman"/>
          <w:b w:val="0"/>
          <w:i w:val="0"/>
          <w:sz w:val="24"/>
        </w:rPr>
        <w:t>2. Tài sản hỏng do hao mòn tự nhiên được sửa chữa theo ngân sách bảo trì; tài sản hỏng do lỗi cá nhân phải xác định trách nhiệm vật chất.</w:t>
      </w:r>
    </w:p>
    <w:p>
      <w:pPr>
        <w:spacing w:after="80" w:before="0" w:line="269" w:lineRule="auto"/>
        <w:ind w:firstLine="283"/>
      </w:pPr>
      <w:r>
        <w:rPr>
          <w:rFonts w:ascii="Times New Roman" w:hAnsi="Times New Roman" w:eastAsia="Times New Roman"/>
          <w:b w:val="0"/>
          <w:i w:val="0"/>
          <w:sz w:val="24"/>
        </w:rPr>
        <w:t>3. Hành vi cố ý phá hoại, tráo đổi linh kiện, sử dụng sai mục đích hoặc che giấu hư hỏng được xem là vi phạm nghiêm trọng.</w:t>
      </w:r>
    </w:p>
    <w:p>
      <w:pPr>
        <w:spacing w:after="80" w:before="0" w:line="269" w:lineRule="auto"/>
        <w:ind w:firstLine="283"/>
      </w:pPr>
      <w:r>
        <w:rPr>
          <w:rFonts w:ascii="Times New Roman" w:hAnsi="Times New Roman" w:eastAsia="Times New Roman"/>
          <w:b w:val="0"/>
          <w:i w:val="0"/>
          <w:sz w:val="24"/>
        </w:rPr>
        <w:t>4. Giá trị bồi hoàn căn cứ vào chứng từ mua, khấu hao, chi phí sửa chữa và biên bản xác minh.</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Hành chính - Cơ sở vật chất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Không tắt điện/điều hòa cuối ngày</w:t>
            </w:r>
          </w:p>
        </w:tc>
        <w:tc>
          <w:tcPr>
            <w:tcW w:type="dxa" w:w="3305"/>
            <w:vAlign w:val="center"/>
          </w:tcPr>
          <w:p>
            <w:pPr>
              <w:spacing w:after="0" w:line="240" w:lineRule="auto"/>
            </w:pPr>
            <w:r/>
            <w:r>
              <w:rPr>
                <w:rFonts w:ascii="Times New Roman" w:hAnsi="Times New Roman" w:eastAsia="Times New Roman"/>
                <w:b w:val="0"/>
                <w:i w:val="0"/>
                <w:sz w:val="18"/>
              </w:rPr>
              <w:t>Nhắc nhở lần 1; tái phạm không xét thưởng tuân thủ 100.000-300.000 đồng/lần nếu có</w:t>
            </w:r>
          </w:p>
        </w:tc>
        <w:tc>
          <w:tcPr>
            <w:tcW w:type="dxa" w:w="3305"/>
            <w:vAlign w:val="center"/>
          </w:tcPr>
          <w:p>
            <w:pPr>
              <w:spacing w:after="0" w:line="240" w:lineRule="auto"/>
            </w:pPr>
            <w:r/>
            <w:r>
              <w:rPr>
                <w:rFonts w:ascii="Times New Roman" w:hAnsi="Times New Roman" w:eastAsia="Times New Roman"/>
                <w:b w:val="0"/>
                <w:i w:val="0"/>
                <w:sz w:val="18"/>
              </w:rPr>
              <w:t>Ngày kế tiếp</w:t>
            </w:r>
          </w:p>
        </w:tc>
      </w:tr>
      <w:tr>
        <w:tc>
          <w:tcPr>
            <w:tcW w:type="dxa" w:w="3305"/>
            <w:vAlign w:val="center"/>
          </w:tcPr>
          <w:p>
            <w:pPr>
              <w:spacing w:after="0" w:line="240" w:lineRule="auto"/>
            </w:pPr>
            <w:r/>
            <w:r>
              <w:rPr>
                <w:rFonts w:ascii="Times New Roman" w:hAnsi="Times New Roman" w:eastAsia="Times New Roman"/>
                <w:b w:val="0"/>
                <w:i w:val="0"/>
                <w:sz w:val="18"/>
              </w:rPr>
              <w:t>Để đồ ăn hư hỏng/gây mùi trong pantry</w:t>
            </w:r>
          </w:p>
        </w:tc>
        <w:tc>
          <w:tcPr>
            <w:tcW w:type="dxa" w:w="3305"/>
            <w:vAlign w:val="center"/>
          </w:tcPr>
          <w:p>
            <w:pPr>
              <w:spacing w:after="0" w:line="240" w:lineRule="auto"/>
            </w:pPr>
            <w:r/>
            <w:r>
              <w:rPr>
                <w:rFonts w:ascii="Times New Roman" w:hAnsi="Times New Roman" w:eastAsia="Times New Roman"/>
                <w:b w:val="0"/>
                <w:i w:val="0"/>
                <w:sz w:val="18"/>
              </w:rPr>
              <w:t>Chi phí vệ sinh 100.000-300.000 đồng/lần</w:t>
            </w:r>
          </w:p>
        </w:tc>
        <w:tc>
          <w:tcPr>
            <w:tcW w:type="dxa" w:w="3305"/>
            <w:vAlign w:val="center"/>
          </w:tcPr>
          <w:p>
            <w:pPr>
              <w:spacing w:after="0" w:line="240" w:lineRule="auto"/>
            </w:pPr>
            <w:r/>
            <w:r>
              <w:rPr>
                <w:rFonts w:ascii="Times New Roman" w:hAnsi="Times New Roman" w:eastAsia="Times New Roman"/>
                <w:b w:val="0"/>
                <w:i w:val="0"/>
                <w:sz w:val="18"/>
              </w:rPr>
              <w:t>Trong ngày</w:t>
            </w:r>
          </w:p>
        </w:tc>
      </w:tr>
      <w:tr>
        <w:tc>
          <w:tcPr>
            <w:tcW w:type="dxa" w:w="3305"/>
            <w:vAlign w:val="center"/>
          </w:tcPr>
          <w:p>
            <w:pPr>
              <w:spacing w:after="0" w:line="240" w:lineRule="auto"/>
            </w:pPr>
            <w:r/>
            <w:r>
              <w:rPr>
                <w:rFonts w:ascii="Times New Roman" w:hAnsi="Times New Roman" w:eastAsia="Times New Roman"/>
                <w:b w:val="0"/>
                <w:i w:val="0"/>
                <w:sz w:val="18"/>
              </w:rPr>
              <w:t>Làm mất thiết bị phòng họp</w:t>
            </w:r>
          </w:p>
        </w:tc>
        <w:tc>
          <w:tcPr>
            <w:tcW w:type="dxa" w:w="3305"/>
            <w:vAlign w:val="center"/>
          </w:tcPr>
          <w:p>
            <w:pPr>
              <w:spacing w:after="0" w:line="240" w:lineRule="auto"/>
            </w:pPr>
            <w:r/>
            <w:r>
              <w:rPr>
                <w:rFonts w:ascii="Times New Roman" w:hAnsi="Times New Roman" w:eastAsia="Times New Roman"/>
                <w:b w:val="0"/>
                <w:i w:val="0"/>
                <w:sz w:val="18"/>
              </w:rPr>
              <w:t>Bồi hoàn theo bảng định mức hoặc giá trị còn lại</w:t>
            </w:r>
          </w:p>
        </w:tc>
        <w:tc>
          <w:tcPr>
            <w:tcW w:type="dxa" w:w="3305"/>
            <w:vAlign w:val="center"/>
          </w:tcPr>
          <w:p>
            <w:pPr>
              <w:spacing w:after="0" w:line="240" w:lineRule="auto"/>
            </w:pPr>
            <w:r/>
            <w:r>
              <w:rPr>
                <w:rFonts w:ascii="Times New Roman" w:hAnsi="Times New Roman" w:eastAsia="Times New Roman"/>
                <w:b w:val="0"/>
                <w:i w:val="0"/>
                <w:sz w:val="18"/>
              </w:rPr>
              <w:t>03 ngày</w:t>
            </w:r>
          </w:p>
        </w:tc>
      </w:tr>
      <w:tr>
        <w:tc>
          <w:tcPr>
            <w:tcW w:type="dxa" w:w="3305"/>
            <w:vAlign w:val="center"/>
          </w:tcPr>
          <w:p>
            <w:pPr>
              <w:spacing w:after="0" w:line="240" w:lineRule="auto"/>
            </w:pPr>
            <w:r/>
            <w:r>
              <w:rPr>
                <w:rFonts w:ascii="Times New Roman" w:hAnsi="Times New Roman" w:eastAsia="Times New Roman"/>
                <w:b w:val="0"/>
                <w:i w:val="0"/>
                <w:sz w:val="18"/>
              </w:rPr>
              <w:t>Cố ý phá hoại tài sản</w:t>
            </w:r>
          </w:p>
        </w:tc>
        <w:tc>
          <w:tcPr>
            <w:tcW w:type="dxa" w:w="3305"/>
            <w:vAlign w:val="center"/>
          </w:tcPr>
          <w:p>
            <w:pPr>
              <w:spacing w:after="0" w:line="240" w:lineRule="auto"/>
            </w:pPr>
            <w:r/>
            <w:r>
              <w:rPr>
                <w:rFonts w:ascii="Times New Roman" w:hAnsi="Times New Roman" w:eastAsia="Times New Roman"/>
                <w:b w:val="0"/>
                <w:i w:val="0"/>
                <w:sz w:val="18"/>
              </w:rPr>
              <w:t>Bồi hoàn 100% thiệt hại thực tế và xem xét kỷ luật</w:t>
            </w:r>
          </w:p>
        </w:tc>
        <w:tc>
          <w:tcPr>
            <w:tcW w:type="dxa" w:w="3305"/>
            <w:vAlign w:val="center"/>
          </w:tcPr>
          <w:p>
            <w:pPr>
              <w:spacing w:after="0" w:line="240" w:lineRule="auto"/>
            </w:pPr>
            <w:r/>
            <w:r>
              <w:rPr>
                <w:rFonts w:ascii="Times New Roman" w:hAnsi="Times New Roman" w:eastAsia="Times New Roman"/>
                <w:b w:val="0"/>
                <w:i w:val="0"/>
                <w:sz w:val="18"/>
              </w:rPr>
              <w:t>Theo biên bản</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AS-01</w:t>
            </w:r>
          </w:p>
        </w:tc>
        <w:tc>
          <w:tcPr>
            <w:tcW w:type="dxa" w:w="3305"/>
            <w:vAlign w:val="center"/>
          </w:tcPr>
          <w:p>
            <w:pPr>
              <w:spacing w:after="0" w:line="240" w:lineRule="auto"/>
            </w:pPr>
            <w:r/>
            <w:r>
              <w:rPr>
                <w:rFonts w:ascii="Times New Roman" w:hAnsi="Times New Roman" w:eastAsia="Times New Roman"/>
                <w:b w:val="0"/>
                <w:i w:val="0"/>
                <w:sz w:val="18"/>
              </w:rPr>
              <w:t>Phiếu mượn/trả thiết bị phòng họp</w:t>
            </w:r>
          </w:p>
        </w:tc>
        <w:tc>
          <w:tcPr>
            <w:tcW w:type="dxa" w:w="3305"/>
            <w:vAlign w:val="center"/>
          </w:tcPr>
          <w:p>
            <w:pPr>
              <w:spacing w:after="0" w:line="240" w:lineRule="auto"/>
            </w:pPr>
            <w:r/>
            <w:r>
              <w:rPr>
                <w:rFonts w:ascii="Times New Roman" w:hAnsi="Times New Roman" w:eastAsia="Times New Roman"/>
                <w:b w:val="0"/>
                <w:i w:val="0"/>
                <w:sz w:val="18"/>
              </w:rPr>
              <w:t>Khi phát sinh mượn thiết bị</w:t>
            </w:r>
          </w:p>
        </w:tc>
      </w:tr>
      <w:tr>
        <w:tc>
          <w:tcPr>
            <w:tcW w:type="dxa" w:w="3305"/>
            <w:vAlign w:val="center"/>
          </w:tcPr>
          <w:p>
            <w:pPr>
              <w:spacing w:after="0" w:line="240" w:lineRule="auto"/>
            </w:pPr>
            <w:r/>
            <w:r>
              <w:rPr>
                <w:rFonts w:ascii="Times New Roman" w:hAnsi="Times New Roman" w:eastAsia="Times New Roman"/>
                <w:b w:val="0"/>
                <w:i w:val="0"/>
                <w:sz w:val="18"/>
              </w:rPr>
              <w:t>AS-02</w:t>
            </w:r>
          </w:p>
        </w:tc>
        <w:tc>
          <w:tcPr>
            <w:tcW w:type="dxa" w:w="3305"/>
            <w:vAlign w:val="center"/>
          </w:tcPr>
          <w:p>
            <w:pPr>
              <w:spacing w:after="0" w:line="240" w:lineRule="auto"/>
            </w:pPr>
            <w:r/>
            <w:r>
              <w:rPr>
                <w:rFonts w:ascii="Times New Roman" w:hAnsi="Times New Roman" w:eastAsia="Times New Roman"/>
                <w:b w:val="0"/>
                <w:i w:val="0"/>
                <w:sz w:val="18"/>
              </w:rPr>
              <w:t>Checklist tắt thiết bị cuối ngày</w:t>
            </w:r>
          </w:p>
        </w:tc>
        <w:tc>
          <w:tcPr>
            <w:tcW w:type="dxa" w:w="3305"/>
            <w:vAlign w:val="center"/>
          </w:tcPr>
          <w:p>
            <w:pPr>
              <w:spacing w:after="0" w:line="240" w:lineRule="auto"/>
            </w:pPr>
            <w:r/>
            <w:r>
              <w:rPr>
                <w:rFonts w:ascii="Times New Roman" w:hAnsi="Times New Roman" w:eastAsia="Times New Roman"/>
                <w:b w:val="0"/>
                <w:i w:val="0"/>
                <w:sz w:val="18"/>
              </w:rPr>
              <w:t>Cuối ngày làm việc</w:t>
            </w:r>
          </w:p>
        </w:tc>
      </w:tr>
      <w:tr>
        <w:tc>
          <w:tcPr>
            <w:tcW w:type="dxa" w:w="3305"/>
            <w:vAlign w:val="center"/>
          </w:tcPr>
          <w:p>
            <w:pPr>
              <w:spacing w:after="0" w:line="240" w:lineRule="auto"/>
            </w:pPr>
            <w:r/>
            <w:r>
              <w:rPr>
                <w:rFonts w:ascii="Times New Roman" w:hAnsi="Times New Roman" w:eastAsia="Times New Roman"/>
                <w:b w:val="0"/>
                <w:i w:val="0"/>
                <w:sz w:val="18"/>
              </w:rPr>
              <w:t>AS-03</w:t>
            </w:r>
          </w:p>
        </w:tc>
        <w:tc>
          <w:tcPr>
            <w:tcW w:type="dxa" w:w="3305"/>
            <w:vAlign w:val="center"/>
          </w:tcPr>
          <w:p>
            <w:pPr>
              <w:spacing w:after="0" w:line="240" w:lineRule="auto"/>
            </w:pPr>
            <w:r/>
            <w:r>
              <w:rPr>
                <w:rFonts w:ascii="Times New Roman" w:hAnsi="Times New Roman" w:eastAsia="Times New Roman"/>
                <w:b w:val="0"/>
                <w:i w:val="0"/>
                <w:sz w:val="18"/>
              </w:rPr>
              <w:t>Biên bản hư hỏng/mất tài sản</w:t>
            </w:r>
          </w:p>
        </w:tc>
        <w:tc>
          <w:tcPr>
            <w:tcW w:type="dxa" w:w="3305"/>
            <w:vAlign w:val="center"/>
          </w:tcPr>
          <w:p>
            <w:pPr>
              <w:spacing w:after="0" w:line="240" w:lineRule="auto"/>
            </w:pPr>
            <w:r/>
            <w:r>
              <w:rPr>
                <w:rFonts w:ascii="Times New Roman" w:hAnsi="Times New Roman" w:eastAsia="Times New Roman"/>
                <w:b w:val="0"/>
                <w:i w:val="0"/>
                <w:sz w:val="18"/>
              </w:rPr>
              <w:t>Trong vòng 04 giờ sau khi phát hiện</w:t>
            </w:r>
          </w:p>
        </w:tc>
      </w:tr>
      <w:tr>
        <w:tc>
          <w:tcPr>
            <w:tcW w:type="dxa" w:w="3305"/>
            <w:vAlign w:val="center"/>
          </w:tcPr>
          <w:p>
            <w:pPr>
              <w:spacing w:after="0" w:line="240" w:lineRule="auto"/>
            </w:pPr>
            <w:r/>
            <w:r>
              <w:rPr>
                <w:rFonts w:ascii="Times New Roman" w:hAnsi="Times New Roman" w:eastAsia="Times New Roman"/>
                <w:b w:val="0"/>
                <w:i w:val="0"/>
                <w:sz w:val="18"/>
              </w:rPr>
              <w:t>AS-04</w:t>
            </w:r>
          </w:p>
        </w:tc>
        <w:tc>
          <w:tcPr>
            <w:tcW w:type="dxa" w:w="3305"/>
            <w:vAlign w:val="center"/>
          </w:tcPr>
          <w:p>
            <w:pPr>
              <w:spacing w:after="0" w:line="240" w:lineRule="auto"/>
            </w:pPr>
            <w:r/>
            <w:r>
              <w:rPr>
                <w:rFonts w:ascii="Times New Roman" w:hAnsi="Times New Roman" w:eastAsia="Times New Roman"/>
                <w:b w:val="0"/>
                <w:i w:val="0"/>
                <w:sz w:val="18"/>
              </w:rPr>
              <w:t>Checklist vệ sinh pantry/nhà vệ sinh</w:t>
            </w:r>
          </w:p>
        </w:tc>
        <w:tc>
          <w:tcPr>
            <w:tcW w:type="dxa" w:w="3305"/>
            <w:vAlign w:val="center"/>
          </w:tcPr>
          <w:p>
            <w:pPr>
              <w:spacing w:after="0" w:line="240" w:lineRule="auto"/>
            </w:pPr>
            <w:r/>
            <w:r>
              <w:rPr>
                <w:rFonts w:ascii="Times New Roman" w:hAnsi="Times New Roman" w:eastAsia="Times New Roman"/>
                <w:b w:val="0"/>
                <w:i w:val="0"/>
                <w:sz w:val="18"/>
              </w:rPr>
              <w:t>Hằng ngày/hằng tuần</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quản lý tài sản, vệ sinh pantry/nhà vệ sinh, thiết bị phòng họp và tiết kiệm năng lượng. Các thời hạn dưới đây là căn cứ để người lao động, quản lý trực tiếp và Phòng Hành chính - Cơ sở vật chất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Hành chính - Cơ sở vật chất</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Hành chính - Cơ sở vật chất kiểm tra nhanh việc tuân thủ trong phạm vi quản lý tài sản, vệ sinh pantry/nhà vệ sinh, thiết bị phòng họp và tiết kiệm năng lượng.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AS-01</w:t>
            </w:r>
          </w:p>
        </w:tc>
        <w:tc>
          <w:tcPr>
            <w:tcW w:type="dxa" w:w="3305"/>
            <w:vAlign w:val="center"/>
          </w:tcPr>
          <w:p>
            <w:pPr>
              <w:spacing w:after="0" w:line="240" w:lineRule="auto"/>
            </w:pPr>
            <w:r/>
            <w:r>
              <w:rPr>
                <w:rFonts w:ascii="Times New Roman" w:hAnsi="Times New Roman" w:eastAsia="Times New Roman"/>
                <w:b w:val="0"/>
                <w:i w:val="0"/>
                <w:sz w:val="17"/>
              </w:rPr>
              <w:t>Phiếu mượn/trả thiết bị phòng họp</w:t>
            </w:r>
          </w:p>
        </w:tc>
        <w:tc>
          <w:tcPr>
            <w:tcW w:type="dxa" w:w="3305"/>
            <w:vAlign w:val="center"/>
          </w:tcPr>
          <w:p>
            <w:pPr>
              <w:spacing w:after="0" w:line="240" w:lineRule="auto"/>
            </w:pPr>
            <w:r/>
            <w:r>
              <w:rPr>
                <w:rFonts w:ascii="Times New Roman" w:hAnsi="Times New Roman" w:eastAsia="Times New Roman"/>
                <w:b w:val="0"/>
                <w:i w:val="0"/>
                <w:sz w:val="17"/>
              </w:rPr>
              <w:t>Khi phát sinh mượn thiết bị</w:t>
            </w:r>
          </w:p>
        </w:tc>
      </w:tr>
      <w:tr>
        <w:tc>
          <w:tcPr>
            <w:tcW w:type="dxa" w:w="3305"/>
            <w:vAlign w:val="center"/>
          </w:tcPr>
          <w:p>
            <w:pPr>
              <w:spacing w:after="0" w:line="240" w:lineRule="auto"/>
            </w:pPr>
            <w:r/>
            <w:r>
              <w:rPr>
                <w:rFonts w:ascii="Times New Roman" w:hAnsi="Times New Roman" w:eastAsia="Times New Roman"/>
                <w:b w:val="0"/>
                <w:i w:val="0"/>
                <w:sz w:val="17"/>
              </w:rPr>
              <w:t>AS-02</w:t>
            </w:r>
          </w:p>
        </w:tc>
        <w:tc>
          <w:tcPr>
            <w:tcW w:type="dxa" w:w="3305"/>
            <w:vAlign w:val="center"/>
          </w:tcPr>
          <w:p>
            <w:pPr>
              <w:spacing w:after="0" w:line="240" w:lineRule="auto"/>
            </w:pPr>
            <w:r/>
            <w:r>
              <w:rPr>
                <w:rFonts w:ascii="Times New Roman" w:hAnsi="Times New Roman" w:eastAsia="Times New Roman"/>
                <w:b w:val="0"/>
                <w:i w:val="0"/>
                <w:sz w:val="17"/>
              </w:rPr>
              <w:t>Checklist tắt thiết bị cuối ngày</w:t>
            </w:r>
          </w:p>
        </w:tc>
        <w:tc>
          <w:tcPr>
            <w:tcW w:type="dxa" w:w="3305"/>
            <w:vAlign w:val="center"/>
          </w:tcPr>
          <w:p>
            <w:pPr>
              <w:spacing w:after="0" w:line="240" w:lineRule="auto"/>
            </w:pPr>
            <w:r/>
            <w:r>
              <w:rPr>
                <w:rFonts w:ascii="Times New Roman" w:hAnsi="Times New Roman" w:eastAsia="Times New Roman"/>
                <w:b w:val="0"/>
                <w:i w:val="0"/>
                <w:sz w:val="17"/>
              </w:rPr>
              <w:t>Cuối ngày làm việc</w:t>
            </w:r>
          </w:p>
        </w:tc>
      </w:tr>
      <w:tr>
        <w:tc>
          <w:tcPr>
            <w:tcW w:type="dxa" w:w="3305"/>
            <w:vAlign w:val="center"/>
          </w:tcPr>
          <w:p>
            <w:pPr>
              <w:spacing w:after="0" w:line="240" w:lineRule="auto"/>
            </w:pPr>
            <w:r/>
            <w:r>
              <w:rPr>
                <w:rFonts w:ascii="Times New Roman" w:hAnsi="Times New Roman" w:eastAsia="Times New Roman"/>
                <w:b w:val="0"/>
                <w:i w:val="0"/>
                <w:sz w:val="17"/>
              </w:rPr>
              <w:t>AS-03</w:t>
            </w:r>
          </w:p>
        </w:tc>
        <w:tc>
          <w:tcPr>
            <w:tcW w:type="dxa" w:w="3305"/>
            <w:vAlign w:val="center"/>
          </w:tcPr>
          <w:p>
            <w:pPr>
              <w:spacing w:after="0" w:line="240" w:lineRule="auto"/>
            </w:pPr>
            <w:r/>
            <w:r>
              <w:rPr>
                <w:rFonts w:ascii="Times New Roman" w:hAnsi="Times New Roman" w:eastAsia="Times New Roman"/>
                <w:b w:val="0"/>
                <w:i w:val="0"/>
                <w:sz w:val="17"/>
              </w:rPr>
              <w:t>Biên bản hư hỏng/mất tài sản</w:t>
            </w:r>
          </w:p>
        </w:tc>
        <w:tc>
          <w:tcPr>
            <w:tcW w:type="dxa" w:w="3305"/>
            <w:vAlign w:val="center"/>
          </w:tcPr>
          <w:p>
            <w:pPr>
              <w:spacing w:after="0" w:line="240" w:lineRule="auto"/>
            </w:pPr>
            <w:r/>
            <w:r>
              <w:rPr>
                <w:rFonts w:ascii="Times New Roman" w:hAnsi="Times New Roman" w:eastAsia="Times New Roman"/>
                <w:b w:val="0"/>
                <w:i w:val="0"/>
                <w:sz w:val="17"/>
              </w:rPr>
              <w:t>Trong vòng 04 giờ sau khi phát hiện</w:t>
            </w:r>
          </w:p>
        </w:tc>
      </w:tr>
      <w:tr>
        <w:tc>
          <w:tcPr>
            <w:tcW w:type="dxa" w:w="3305"/>
            <w:vAlign w:val="center"/>
          </w:tcPr>
          <w:p>
            <w:pPr>
              <w:spacing w:after="0" w:line="240" w:lineRule="auto"/>
            </w:pPr>
            <w:r/>
            <w:r>
              <w:rPr>
                <w:rFonts w:ascii="Times New Roman" w:hAnsi="Times New Roman" w:eastAsia="Times New Roman"/>
                <w:b w:val="0"/>
                <w:i w:val="0"/>
                <w:sz w:val="17"/>
              </w:rPr>
              <w:t>AS-04</w:t>
            </w:r>
          </w:p>
        </w:tc>
        <w:tc>
          <w:tcPr>
            <w:tcW w:type="dxa" w:w="3305"/>
            <w:vAlign w:val="center"/>
          </w:tcPr>
          <w:p>
            <w:pPr>
              <w:spacing w:after="0" w:line="240" w:lineRule="auto"/>
            </w:pPr>
            <w:r/>
            <w:r>
              <w:rPr>
                <w:rFonts w:ascii="Times New Roman" w:hAnsi="Times New Roman" w:eastAsia="Times New Roman"/>
                <w:b w:val="0"/>
                <w:i w:val="0"/>
                <w:sz w:val="17"/>
              </w:rPr>
              <w:t>Checklist vệ sinh pantry/nhà vệ sinh</w:t>
            </w:r>
          </w:p>
        </w:tc>
        <w:tc>
          <w:tcPr>
            <w:tcW w:type="dxa" w:w="3305"/>
            <w:vAlign w:val="center"/>
          </w:tcPr>
          <w:p>
            <w:pPr>
              <w:spacing w:after="0" w:line="240" w:lineRule="auto"/>
            </w:pPr>
            <w:r/>
            <w:r>
              <w:rPr>
                <w:rFonts w:ascii="Times New Roman" w:hAnsi="Times New Roman" w:eastAsia="Times New Roman"/>
                <w:b w:val="0"/>
                <w:i w:val="0"/>
                <w:sz w:val="17"/>
              </w:rPr>
              <w:t>Hằng ngày/hằng tuần</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Không tắt điện/điều hòa cuối ngày</w:t>
            </w:r>
          </w:p>
        </w:tc>
        <w:tc>
          <w:tcPr>
            <w:tcW w:type="dxa" w:w="3305"/>
            <w:vAlign w:val="center"/>
          </w:tcPr>
          <w:p>
            <w:pPr>
              <w:spacing w:after="0" w:line="240" w:lineRule="auto"/>
            </w:pPr>
            <w:r/>
            <w:r>
              <w:rPr>
                <w:rFonts w:ascii="Times New Roman" w:hAnsi="Times New Roman" w:eastAsia="Times New Roman"/>
                <w:b w:val="0"/>
                <w:i w:val="0"/>
                <w:sz w:val="17"/>
              </w:rPr>
              <w:t>Nhắc nhở lần 1; tái phạm không xét thưởng tuân thủ 100.000-300.000 đồng/lần nếu có</w:t>
            </w:r>
          </w:p>
        </w:tc>
        <w:tc>
          <w:tcPr>
            <w:tcW w:type="dxa" w:w="3305"/>
            <w:vAlign w:val="center"/>
          </w:tcPr>
          <w:p>
            <w:pPr>
              <w:spacing w:after="0" w:line="240" w:lineRule="auto"/>
            </w:pPr>
            <w:r/>
            <w:r>
              <w:rPr>
                <w:rFonts w:ascii="Times New Roman" w:hAnsi="Times New Roman" w:eastAsia="Times New Roman"/>
                <w:b w:val="0"/>
                <w:i w:val="0"/>
                <w:sz w:val="17"/>
              </w:rPr>
              <w:t>Ngày kế tiếp</w:t>
            </w:r>
          </w:p>
        </w:tc>
      </w:tr>
      <w:tr>
        <w:tc>
          <w:tcPr>
            <w:tcW w:type="dxa" w:w="3305"/>
            <w:vAlign w:val="center"/>
          </w:tcPr>
          <w:p>
            <w:pPr>
              <w:spacing w:after="0" w:line="240" w:lineRule="auto"/>
            </w:pPr>
            <w:r/>
            <w:r>
              <w:rPr>
                <w:rFonts w:ascii="Times New Roman" w:hAnsi="Times New Roman" w:eastAsia="Times New Roman"/>
                <w:b w:val="0"/>
                <w:i w:val="0"/>
                <w:sz w:val="17"/>
              </w:rPr>
              <w:t>Để đồ ăn hư hỏng/gây mùi trong pantry</w:t>
            </w:r>
          </w:p>
        </w:tc>
        <w:tc>
          <w:tcPr>
            <w:tcW w:type="dxa" w:w="3305"/>
            <w:vAlign w:val="center"/>
          </w:tcPr>
          <w:p>
            <w:pPr>
              <w:spacing w:after="0" w:line="240" w:lineRule="auto"/>
            </w:pPr>
            <w:r/>
            <w:r>
              <w:rPr>
                <w:rFonts w:ascii="Times New Roman" w:hAnsi="Times New Roman" w:eastAsia="Times New Roman"/>
                <w:b w:val="0"/>
                <w:i w:val="0"/>
                <w:sz w:val="17"/>
              </w:rPr>
              <w:t>Chi phí vệ sinh 100.000-300.000 đồng/lần</w:t>
            </w:r>
          </w:p>
        </w:tc>
        <w:tc>
          <w:tcPr>
            <w:tcW w:type="dxa" w:w="3305"/>
            <w:vAlign w:val="center"/>
          </w:tcPr>
          <w:p>
            <w:pPr>
              <w:spacing w:after="0" w:line="240" w:lineRule="auto"/>
            </w:pPr>
            <w:r/>
            <w:r>
              <w:rPr>
                <w:rFonts w:ascii="Times New Roman" w:hAnsi="Times New Roman" w:eastAsia="Times New Roman"/>
                <w:b w:val="0"/>
                <w:i w:val="0"/>
                <w:sz w:val="17"/>
              </w:rPr>
              <w:t>Trong ngày</w:t>
            </w:r>
          </w:p>
        </w:tc>
      </w:tr>
      <w:tr>
        <w:tc>
          <w:tcPr>
            <w:tcW w:type="dxa" w:w="3305"/>
            <w:vAlign w:val="center"/>
          </w:tcPr>
          <w:p>
            <w:pPr>
              <w:spacing w:after="0" w:line="240" w:lineRule="auto"/>
            </w:pPr>
            <w:r/>
            <w:r>
              <w:rPr>
                <w:rFonts w:ascii="Times New Roman" w:hAnsi="Times New Roman" w:eastAsia="Times New Roman"/>
                <w:b w:val="0"/>
                <w:i w:val="0"/>
                <w:sz w:val="17"/>
              </w:rPr>
              <w:t>Làm mất thiết bị phòng họp</w:t>
            </w:r>
          </w:p>
        </w:tc>
        <w:tc>
          <w:tcPr>
            <w:tcW w:type="dxa" w:w="3305"/>
            <w:vAlign w:val="center"/>
          </w:tcPr>
          <w:p>
            <w:pPr>
              <w:spacing w:after="0" w:line="240" w:lineRule="auto"/>
            </w:pPr>
            <w:r/>
            <w:r>
              <w:rPr>
                <w:rFonts w:ascii="Times New Roman" w:hAnsi="Times New Roman" w:eastAsia="Times New Roman"/>
                <w:b w:val="0"/>
                <w:i w:val="0"/>
                <w:sz w:val="17"/>
              </w:rPr>
              <w:t>Bồi hoàn theo bảng định mức hoặc giá trị còn lại</w:t>
            </w:r>
          </w:p>
        </w:tc>
        <w:tc>
          <w:tcPr>
            <w:tcW w:type="dxa" w:w="3305"/>
            <w:vAlign w:val="center"/>
          </w:tcPr>
          <w:p>
            <w:pPr>
              <w:spacing w:after="0" w:line="240" w:lineRule="auto"/>
            </w:pPr>
            <w:r/>
            <w:r>
              <w:rPr>
                <w:rFonts w:ascii="Times New Roman" w:hAnsi="Times New Roman" w:eastAsia="Times New Roman"/>
                <w:b w:val="0"/>
                <w:i w:val="0"/>
                <w:sz w:val="17"/>
              </w:rPr>
              <w:t>03 ngày</w:t>
            </w:r>
          </w:p>
        </w:tc>
      </w:tr>
      <w:tr>
        <w:tc>
          <w:tcPr>
            <w:tcW w:type="dxa" w:w="3305"/>
            <w:vAlign w:val="center"/>
          </w:tcPr>
          <w:p>
            <w:pPr>
              <w:spacing w:after="0" w:line="240" w:lineRule="auto"/>
            </w:pPr>
            <w:r/>
            <w:r>
              <w:rPr>
                <w:rFonts w:ascii="Times New Roman" w:hAnsi="Times New Roman" w:eastAsia="Times New Roman"/>
                <w:b w:val="0"/>
                <w:i w:val="0"/>
                <w:sz w:val="17"/>
              </w:rPr>
              <w:t>Cố ý phá hoại tài sản</w:t>
            </w:r>
          </w:p>
        </w:tc>
        <w:tc>
          <w:tcPr>
            <w:tcW w:type="dxa" w:w="3305"/>
            <w:vAlign w:val="center"/>
          </w:tcPr>
          <w:p>
            <w:pPr>
              <w:spacing w:after="0" w:line="240" w:lineRule="auto"/>
            </w:pPr>
            <w:r/>
            <w:r>
              <w:rPr>
                <w:rFonts w:ascii="Times New Roman" w:hAnsi="Times New Roman" w:eastAsia="Times New Roman"/>
                <w:b w:val="0"/>
                <w:i w:val="0"/>
                <w:sz w:val="17"/>
              </w:rPr>
              <w:t>Bồi hoàn 100% thiệt hại thực tế và xem xét kỷ luật</w:t>
            </w:r>
          </w:p>
        </w:tc>
        <w:tc>
          <w:tcPr>
            <w:tcW w:type="dxa" w:w="3305"/>
            <w:vAlign w:val="center"/>
          </w:tcPr>
          <w:p>
            <w:pPr>
              <w:spacing w:after="0" w:line="240" w:lineRule="auto"/>
            </w:pPr>
            <w:r/>
            <w:r>
              <w:rPr>
                <w:rFonts w:ascii="Times New Roman" w:hAnsi="Times New Roman" w:eastAsia="Times New Roman"/>
                <w:b w:val="0"/>
                <w:i w:val="0"/>
                <w:sz w:val="17"/>
              </w:rPr>
              <w:t>Theo biên bản</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Hành chính - Cơ sở vật chất</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VSF-HC-03-V2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